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65.020.20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62</w:t>
            </w:r>
            <w:r>
              <w:rPr>
                <w:rFonts w:ascii="黑体" w:hAnsi="黑体" w:eastAsia="黑体"/>
                <w:sz w:val="21"/>
                <w:szCs w:val="21"/>
              </w:rPr>
              <w:fldChar w:fldCharType="end"/>
            </w:r>
            <w:bookmarkEnd w:id="1"/>
          </w:p>
        </w:tc>
      </w:tr>
    </w:tbl>
    <w:tbl>
      <w:tblPr>
        <w:tblStyle w:val="3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4"/>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5"/>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200"/>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2020</w:t>
      </w:r>
      <w:r>
        <w:fldChar w:fldCharType="end"/>
      </w:r>
      <w:bookmarkEnd w:id="7"/>
    </w:p>
    <w:p>
      <w:pPr>
        <w:pStyle w:val="201"/>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5"/>
        <w:framePr w:w="9639" w:h="6976" w:hRule="exact" w:hSpace="0" w:vSpace="0" w:wrap="around" w:hAnchor="page" w:y="6408"/>
        <w:jc w:val="center"/>
        <w:rPr>
          <w:rFonts w:ascii="黑体" w:hAnsi="黑体" w:eastAsia="黑体"/>
          <w:b w:val="0"/>
          <w:bCs w:val="0"/>
          <w:w w:val="100"/>
        </w:rPr>
      </w:pPr>
    </w:p>
    <w:p>
      <w:pPr>
        <w:pStyle w:val="202"/>
        <w:framePr w:h="6974" w:hRule="exact" w:wrap="around" w:x="1419" w:anchorLock="1"/>
      </w:pPr>
      <w:bookmarkStart w:id="110" w:name="_GoBack"/>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门诊应急演练指南</w:t>
      </w:r>
      <w:r>
        <w:fldChar w:fldCharType="end"/>
      </w:r>
      <w:bookmarkEnd w:id="110"/>
      <w:bookmarkEnd w:id="9"/>
    </w:p>
    <w:p>
      <w:pPr>
        <w:framePr w:w="9639" w:h="6974" w:hRule="exact" w:wrap="around" w:vAnchor="page" w:hAnchor="page" w:x="1419" w:y="6408" w:anchorLock="1"/>
        <w:ind w:left="-1418"/>
      </w:pPr>
    </w:p>
    <w:p>
      <w:pPr>
        <w:pStyle w:val="130"/>
        <w:framePr w:w="9639" w:h="6974" w:hRule="exact" w:wrap="around" w:vAnchor="page" w:hAnchor="page" w:x="1419" w:y="6408" w:anchorLock="1"/>
        <w:textAlignment w:val="bottom"/>
        <w:rPr>
          <w:rFonts w:ascii="黑体" w:hAnsi="黑体" w:eastAsia="黑体"/>
          <w:szCs w:val="28"/>
        </w:rPr>
      </w:pPr>
      <w:r>
        <w:rPr>
          <w:rFonts w:hint="default" w:ascii="Times New Roman" w:hAnsi="Times New Roman" w:eastAsia="黑体" w:cs="Times New Roman"/>
          <w:b/>
          <w:bCs/>
          <w:szCs w:val="28"/>
        </w:rPr>
        <w:fldChar w:fldCharType="begin">
          <w:ffData>
            <w:name w:val="ESTD_NAME"/>
            <w:enabled/>
            <w:calcOnExit w:val="0"/>
            <w:textInput>
              <w:default w:val="点击此处添加标准名称的英文译名"/>
            </w:textInput>
          </w:ffData>
        </w:fldChar>
      </w:r>
      <w:bookmarkStart w:id="10" w:name="ESTD_NAME"/>
      <w:r>
        <w:rPr>
          <w:rFonts w:hint="default" w:ascii="Times New Roman" w:hAnsi="Times New Roman" w:eastAsia="黑体" w:cs="Times New Roman"/>
          <w:b/>
          <w:bCs/>
          <w:szCs w:val="28"/>
        </w:rPr>
        <w:instrText xml:space="preserve"> FORMTEXT </w:instrText>
      </w:r>
      <w:r>
        <w:rPr>
          <w:rFonts w:hint="default" w:ascii="Times New Roman" w:hAnsi="Times New Roman" w:eastAsia="黑体" w:cs="Times New Roman"/>
          <w:b/>
          <w:bCs/>
          <w:szCs w:val="28"/>
        </w:rPr>
        <w:fldChar w:fldCharType="separate"/>
      </w:r>
      <w:r>
        <w:rPr>
          <w:rFonts w:hint="default" w:ascii="Times New Roman" w:hAnsi="Times New Roman" w:eastAsia="黑体" w:cs="Times New Roman"/>
          <w:b/>
          <w:bCs/>
          <w:szCs w:val="28"/>
        </w:rPr>
        <w:t>Guidelines for emergency exercise service of outpatient department</w:t>
      </w:r>
      <w:r>
        <w:rPr>
          <w:rFonts w:hint="default" w:ascii="Times New Roman" w:hAnsi="Times New Roman" w:eastAsia="黑体" w:cs="Times New Roman"/>
          <w:b/>
          <w:bCs/>
          <w:szCs w:val="28"/>
        </w:rPr>
        <w:fldChar w:fldCharType="end"/>
      </w:r>
      <w:bookmarkEnd w:id="10"/>
    </w:p>
    <w:p>
      <w:pPr>
        <w:framePr w:w="9639" w:h="6974" w:hRule="exact" w:wrap="around" w:vAnchor="page" w:hAnchor="page" w:x="1419" w:y="6408" w:anchorLock="1"/>
        <w:spacing w:line="760" w:lineRule="exact"/>
        <w:ind w:left="-1418"/>
      </w:pPr>
    </w:p>
    <w:p>
      <w:pPr>
        <w:pStyle w:val="130"/>
        <w:framePr w:w="9639" w:h="6974" w:hRule="exact" w:wrap="around" w:vAnchor="page" w:hAnchor="page" w:x="1419" w:y="6408" w:anchorLock="1"/>
        <w:textAlignment w:val="bottom"/>
        <w:rPr>
          <w:rFonts w:eastAsia="黑体"/>
          <w:szCs w:val="28"/>
        </w:rPr>
      </w:pPr>
    </w:p>
    <w:p>
      <w:pPr>
        <w:pStyle w:val="130"/>
        <w:framePr w:w="9639" w:h="6974" w:hRule="exact" w:wrap="around" w:vAnchor="page" w:hAnchor="page" w:x="1419" w:y="6408" w:anchorLock="1"/>
        <w:spacing w:before="440" w:after="160"/>
        <w:textAlignment w:val="bottom"/>
        <w:rPr>
          <w:b/>
          <w:sz w:val="21"/>
          <w:szCs w:val="28"/>
        </w:rPr>
      </w:pPr>
    </w:p>
    <w:p>
      <w:pPr>
        <w:pStyle w:val="198"/>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2021</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9"/>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2021</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pStyle w:val="15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7"/>
      <w:r>
        <w:rPr>
          <w:rFonts w:ascii="Times New Roman"/>
          <w:w w:val="100"/>
          <w:sz w:val="28"/>
        </w:rPr>
        <w:t>  </w:t>
      </w:r>
      <w:r>
        <w:rPr>
          <w:rStyle w:val="234"/>
          <w:rFonts w:hint="eastAsia" w:hAnsi="黑体"/>
          <w:position w:val="0"/>
        </w:rPr>
        <w:t>发</w:t>
      </w:r>
      <w:r>
        <w:rPr>
          <w:rStyle w:val="234"/>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6"/>
        <w:spacing w:after="468"/>
      </w:pPr>
      <w:bookmarkStart w:id="18" w:name="BookMark1"/>
      <w:bookmarkStart w:id="19" w:name="_Toc126140463"/>
      <w:bookmarkStart w:id="20" w:name="_Toc126139273"/>
      <w:bookmarkStart w:id="21" w:name="_Toc126071763"/>
      <w:r>
        <w:rPr>
          <w:rFonts w:hint="eastAsia"/>
          <w:spacing w:val="320"/>
        </w:rPr>
        <w:t>目</w:t>
      </w:r>
      <w:r>
        <w:rPr>
          <w:rFonts w:hint="eastAsia"/>
        </w:rPr>
        <w:t>次</w:t>
      </w:r>
    </w:p>
    <w:p>
      <w:pPr>
        <w:pStyle w:val="21"/>
        <w:tabs>
          <w:tab w:val="right" w:leader="dot" w:pos="9354"/>
        </w:tabs>
        <w:rPr>
          <w:rFonts w:hint="eastAsia" w:ascii="宋体" w:hAnsi="Calibri" w:eastAsia="宋体" w:cs="Times New Roman"/>
          <w:kern w:val="2"/>
          <w:sz w:val="21"/>
          <w:szCs w:val="21"/>
          <w:lang w:val="en-US" w:eastAsia="zh-CN" w:bidi="ar-SA"/>
        </w:rPr>
      </w:pPr>
    </w:p>
    <w:sdt>
      <w:sdtPr>
        <w:rPr>
          <w:rFonts w:ascii="宋体" w:hAnsi="宋体" w:eastAsia="宋体" w:cs="Times New Roman"/>
          <w:kern w:val="2"/>
          <w:sz w:val="21"/>
          <w:szCs w:val="21"/>
          <w:lang w:val="en-US" w:eastAsia="zh-CN" w:bidi="ar-SA"/>
        </w:rPr>
        <w:id w:val="147474382"/>
        <w15:color w:val="DBDBDB"/>
        <w:docPartObj>
          <w:docPartGallery w:val="Table of Contents"/>
          <w:docPartUnique/>
        </w:docPartObj>
      </w:sdtPr>
      <w:sdtEndPr>
        <w:rPr>
          <w:rFonts w:hint="eastAsia" w:ascii="宋体" w:hAnsi="宋体" w:eastAsia="宋体" w:cs="宋体"/>
          <w:b w:val="0"/>
          <w:bCs w:val="0"/>
          <w:kern w:val="2"/>
          <w:sz w:val="21"/>
          <w:szCs w:val="21"/>
          <w:lang w:val="en-US" w:eastAsia="zh-CN" w:bidi="ar-SA"/>
        </w:rPr>
      </w:sdtEndPr>
      <w:sdtContent>
        <w:p>
          <w:pPr>
            <w:spacing w:before="0" w:beforeLines="0" w:after="0" w:afterLines="0" w:line="240" w:lineRule="auto"/>
            <w:ind w:left="0" w:leftChars="0" w:right="0" w:rightChars="0" w:firstLine="0" w:firstLineChars="0"/>
            <w:jc w:val="center"/>
          </w:pP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TOC \o "1-2" \h \u </w:instrText>
          </w:r>
          <w:r>
            <w:rPr>
              <w:rFonts w:hint="eastAsia" w:ascii="宋体" w:hAnsi="宋体" w:eastAsia="宋体" w:cs="宋体"/>
              <w:b w:val="0"/>
              <w:bCs w:val="0"/>
              <w:sz w:val="21"/>
              <w:szCs w:val="21"/>
            </w:rPr>
            <w:fldChar w:fldCharType="separate"/>
          </w: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_Toc7701 </w:instrText>
          </w:r>
          <w:r>
            <w:rPr>
              <w:rFonts w:hint="eastAsia" w:ascii="宋体" w:hAnsi="宋体" w:eastAsia="宋体" w:cs="宋体"/>
              <w:bCs w:val="0"/>
              <w:szCs w:val="21"/>
            </w:rPr>
            <w:fldChar w:fldCharType="separate"/>
          </w:r>
          <w:r>
            <w:rPr>
              <w:spacing w:val="320"/>
            </w:rPr>
            <w:t>前</w:t>
          </w:r>
          <w:r>
            <w:t>言</w:t>
          </w:r>
          <w:r>
            <w:tab/>
          </w:r>
          <w:r>
            <w:fldChar w:fldCharType="begin"/>
          </w:r>
          <w:r>
            <w:instrText xml:space="preserve"> PAGEREF _Toc7701 \h </w:instrText>
          </w:r>
          <w:r>
            <w:fldChar w:fldCharType="separate"/>
          </w:r>
          <w:r>
            <w:t>II</w:t>
          </w:r>
          <w:r>
            <w:fldChar w:fldCharType="end"/>
          </w:r>
          <w:r>
            <w:rPr>
              <w:rFonts w:hint="eastAsia" w:ascii="宋体" w:hAnsi="宋体" w:eastAsia="宋体" w:cs="宋体"/>
              <w:bCs w:val="0"/>
              <w:szCs w:val="21"/>
            </w:rP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_Toc31300 </w:instrText>
          </w:r>
          <w:r>
            <w:rPr>
              <w:rFonts w:hint="eastAsia" w:ascii="宋体" w:hAnsi="宋体" w:eastAsia="宋体" w:cs="宋体"/>
              <w:bCs w:val="0"/>
              <w:szCs w:val="21"/>
            </w:rPr>
            <w:fldChar w:fldCharType="separate"/>
          </w:r>
          <w:r>
            <w:rPr>
              <w:rFonts w:hint="eastAsia" w:ascii="黑体" w:eastAsia="黑体"/>
              <w:i w:val="0"/>
            </w:rPr>
            <w:t xml:space="preserve">1 </w:t>
          </w:r>
          <w:r>
            <w:rPr>
              <w:rFonts w:hint="eastAsia" w:ascii="黑体" w:eastAsia="黑体"/>
              <w:i w:val="0"/>
              <w:lang w:val="en-US" w:eastAsia="zh-CN"/>
            </w:rPr>
            <w:t xml:space="preserve"> </w:t>
          </w:r>
          <w:r>
            <w:rPr>
              <w:rFonts w:hint="eastAsia"/>
            </w:rPr>
            <w:t>范围</w:t>
          </w:r>
          <w:r>
            <w:tab/>
          </w:r>
          <w:r>
            <w:fldChar w:fldCharType="begin"/>
          </w:r>
          <w:r>
            <w:instrText xml:space="preserve"> PAGEREF _Toc31300 \h </w:instrText>
          </w:r>
          <w:r>
            <w:fldChar w:fldCharType="separate"/>
          </w:r>
          <w:r>
            <w:t>1</w:t>
          </w:r>
          <w:r>
            <w:fldChar w:fldCharType="end"/>
          </w:r>
          <w:r>
            <w:rPr>
              <w:rFonts w:hint="eastAsia" w:ascii="宋体" w:hAnsi="宋体" w:eastAsia="宋体" w:cs="宋体"/>
              <w:bCs w:val="0"/>
              <w:szCs w:val="21"/>
            </w:rP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_Toc4258 </w:instrText>
          </w:r>
          <w:r>
            <w:rPr>
              <w:rFonts w:hint="eastAsia" w:ascii="宋体" w:hAnsi="宋体" w:eastAsia="宋体" w:cs="宋体"/>
              <w:bCs w:val="0"/>
              <w:szCs w:val="21"/>
            </w:rPr>
            <w:fldChar w:fldCharType="separate"/>
          </w:r>
          <w:r>
            <w:rPr>
              <w:rFonts w:hint="eastAsia" w:ascii="黑体" w:eastAsia="黑体"/>
              <w:i w:val="0"/>
            </w:rPr>
            <w:t xml:space="preserve">2 </w:t>
          </w:r>
          <w:r>
            <w:rPr>
              <w:rFonts w:hint="eastAsia" w:ascii="黑体" w:eastAsia="黑体"/>
              <w:i w:val="0"/>
              <w:lang w:val="en-US" w:eastAsia="zh-CN"/>
            </w:rPr>
            <w:t xml:space="preserve"> </w:t>
          </w:r>
          <w:r>
            <w:rPr>
              <w:rFonts w:hint="eastAsia"/>
            </w:rPr>
            <w:t>规范性引用文件</w:t>
          </w:r>
          <w:r>
            <w:tab/>
          </w:r>
          <w:r>
            <w:fldChar w:fldCharType="begin"/>
          </w:r>
          <w:r>
            <w:instrText xml:space="preserve"> PAGEREF _Toc4258 \h </w:instrText>
          </w:r>
          <w:r>
            <w:fldChar w:fldCharType="separate"/>
          </w:r>
          <w:r>
            <w:t>1</w:t>
          </w:r>
          <w:r>
            <w:fldChar w:fldCharType="end"/>
          </w:r>
          <w:r>
            <w:rPr>
              <w:rFonts w:hint="eastAsia" w:ascii="宋体" w:hAnsi="宋体" w:eastAsia="宋体" w:cs="宋体"/>
              <w:bCs w:val="0"/>
              <w:szCs w:val="21"/>
            </w:rP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_Toc32570 </w:instrText>
          </w:r>
          <w:r>
            <w:rPr>
              <w:rFonts w:hint="eastAsia" w:ascii="宋体" w:hAnsi="宋体" w:eastAsia="宋体" w:cs="宋体"/>
              <w:bCs w:val="0"/>
              <w:szCs w:val="21"/>
            </w:rPr>
            <w:fldChar w:fldCharType="separate"/>
          </w:r>
          <w:r>
            <w:rPr>
              <w:rFonts w:hint="eastAsia" w:ascii="黑体" w:eastAsia="黑体"/>
              <w:i w:val="0"/>
            </w:rPr>
            <w:t xml:space="preserve">3 </w:t>
          </w:r>
          <w:r>
            <w:rPr>
              <w:rFonts w:hint="eastAsia" w:ascii="黑体" w:eastAsia="黑体"/>
              <w:i w:val="0"/>
              <w:lang w:val="en-US" w:eastAsia="zh-CN"/>
            </w:rPr>
            <w:t xml:space="preserve"> </w:t>
          </w:r>
          <w:r>
            <w:rPr>
              <w:rFonts w:hint="eastAsia"/>
            </w:rPr>
            <w:t>术语和定义</w:t>
          </w:r>
          <w:r>
            <w:tab/>
          </w:r>
          <w:r>
            <w:fldChar w:fldCharType="begin"/>
          </w:r>
          <w:r>
            <w:instrText xml:space="preserve"> PAGEREF _Toc32570 \h </w:instrText>
          </w:r>
          <w:r>
            <w:fldChar w:fldCharType="separate"/>
          </w:r>
          <w:r>
            <w:t>1</w:t>
          </w:r>
          <w:r>
            <w:fldChar w:fldCharType="end"/>
          </w:r>
          <w:r>
            <w:rPr>
              <w:rFonts w:hint="eastAsia" w:ascii="宋体" w:hAnsi="宋体" w:eastAsia="宋体" w:cs="宋体"/>
              <w:bCs w:val="0"/>
              <w:szCs w:val="21"/>
            </w:rP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_Toc18186 </w:instrText>
          </w:r>
          <w:r>
            <w:rPr>
              <w:rFonts w:hint="eastAsia" w:ascii="宋体" w:hAnsi="宋体" w:eastAsia="宋体" w:cs="宋体"/>
              <w:bCs w:val="0"/>
              <w:szCs w:val="21"/>
            </w:rPr>
            <w:fldChar w:fldCharType="separate"/>
          </w:r>
          <w:r>
            <w:rPr>
              <w:rFonts w:hint="eastAsia" w:ascii="黑体" w:eastAsia="黑体"/>
              <w:i w:val="0"/>
            </w:rPr>
            <w:t xml:space="preserve">4 </w:t>
          </w:r>
          <w:r>
            <w:rPr>
              <w:rFonts w:hint="eastAsia" w:ascii="黑体" w:eastAsia="黑体"/>
              <w:i w:val="0"/>
              <w:lang w:val="en-US" w:eastAsia="zh-CN"/>
            </w:rPr>
            <w:t xml:space="preserve"> </w:t>
          </w:r>
          <w:r>
            <w:rPr>
              <w:rFonts w:hint="eastAsia"/>
            </w:rPr>
            <w:t>演练场景</w:t>
          </w:r>
          <w:r>
            <w:tab/>
          </w:r>
          <w:r>
            <w:fldChar w:fldCharType="begin"/>
          </w:r>
          <w:r>
            <w:instrText xml:space="preserve"> PAGEREF _Toc18186 \h </w:instrText>
          </w:r>
          <w:r>
            <w:fldChar w:fldCharType="separate"/>
          </w:r>
          <w:r>
            <w:t>1</w:t>
          </w:r>
          <w:r>
            <w:fldChar w:fldCharType="end"/>
          </w:r>
          <w:r>
            <w:rPr>
              <w:rFonts w:hint="eastAsia" w:ascii="宋体" w:hAnsi="宋体" w:eastAsia="宋体" w:cs="宋体"/>
              <w:bCs w:val="0"/>
              <w:szCs w:val="21"/>
            </w:rP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_Toc31424 </w:instrText>
          </w:r>
          <w:r>
            <w:rPr>
              <w:rFonts w:hint="eastAsia" w:ascii="宋体" w:hAnsi="宋体" w:eastAsia="宋体" w:cs="宋体"/>
              <w:bCs w:val="0"/>
              <w:szCs w:val="21"/>
            </w:rPr>
            <w:fldChar w:fldCharType="separate"/>
          </w:r>
          <w:r>
            <w:rPr>
              <w:rFonts w:hint="eastAsia" w:ascii="黑体" w:eastAsia="黑体"/>
              <w:i w:val="0"/>
            </w:rPr>
            <w:t xml:space="preserve">5 </w:t>
          </w:r>
          <w:r>
            <w:rPr>
              <w:rFonts w:hint="eastAsia" w:ascii="黑体" w:eastAsia="黑体"/>
              <w:i w:val="0"/>
              <w:lang w:val="en-US" w:eastAsia="zh-CN"/>
            </w:rPr>
            <w:t xml:space="preserve"> </w:t>
          </w:r>
          <w:r>
            <w:rPr>
              <w:rFonts w:hint="eastAsia"/>
            </w:rPr>
            <w:t>演练人员</w:t>
          </w:r>
          <w:r>
            <w:tab/>
          </w:r>
          <w:r>
            <w:fldChar w:fldCharType="begin"/>
          </w:r>
          <w:r>
            <w:instrText xml:space="preserve"> PAGEREF _Toc31424 \h </w:instrText>
          </w:r>
          <w:r>
            <w:fldChar w:fldCharType="separate"/>
          </w:r>
          <w:r>
            <w:t>2</w:t>
          </w:r>
          <w:r>
            <w:fldChar w:fldCharType="end"/>
          </w:r>
          <w:r>
            <w:rPr>
              <w:rFonts w:hint="eastAsia" w:ascii="宋体" w:hAnsi="宋体" w:eastAsia="宋体" w:cs="宋体"/>
              <w:bCs w:val="0"/>
              <w:szCs w:val="21"/>
            </w:rP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_Toc11358 </w:instrText>
          </w:r>
          <w:r>
            <w:rPr>
              <w:rFonts w:hint="eastAsia" w:ascii="宋体" w:hAnsi="宋体" w:eastAsia="宋体" w:cs="宋体"/>
              <w:bCs w:val="0"/>
              <w:szCs w:val="21"/>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lang w:val="en-US" w:eastAsia="zh-CN"/>
            </w:rPr>
            <w:t>准备组织团队</w:t>
          </w:r>
          <w:r>
            <w:tab/>
          </w:r>
          <w:r>
            <w:fldChar w:fldCharType="begin"/>
          </w:r>
          <w:r>
            <w:instrText xml:space="preserve"> PAGEREF _Toc11358 \h </w:instrText>
          </w:r>
          <w:r>
            <w:fldChar w:fldCharType="separate"/>
          </w:r>
          <w:r>
            <w:t>2</w:t>
          </w:r>
          <w:r>
            <w:fldChar w:fldCharType="end"/>
          </w:r>
          <w:r>
            <w:rPr>
              <w:rFonts w:hint="eastAsia" w:ascii="宋体" w:hAnsi="宋体" w:eastAsia="宋体" w:cs="宋体"/>
              <w:bCs w:val="0"/>
              <w:szCs w:val="21"/>
            </w:rP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_Toc9912 </w:instrText>
          </w:r>
          <w:r>
            <w:rPr>
              <w:rFonts w:hint="eastAsia" w:ascii="宋体" w:hAnsi="宋体" w:eastAsia="宋体" w:cs="宋体"/>
              <w:bCs w:val="0"/>
              <w:szCs w:val="21"/>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lang w:val="en-US" w:eastAsia="zh-CN"/>
            </w:rPr>
            <w:t>现场实施团队</w:t>
          </w:r>
          <w:r>
            <w:tab/>
          </w:r>
          <w:r>
            <w:fldChar w:fldCharType="begin"/>
          </w:r>
          <w:r>
            <w:instrText xml:space="preserve"> PAGEREF _Toc9912 \h </w:instrText>
          </w:r>
          <w:r>
            <w:fldChar w:fldCharType="separate"/>
          </w:r>
          <w:r>
            <w:t>2</w:t>
          </w:r>
          <w:r>
            <w:fldChar w:fldCharType="end"/>
          </w:r>
          <w:r>
            <w:rPr>
              <w:rFonts w:hint="eastAsia" w:ascii="宋体" w:hAnsi="宋体" w:eastAsia="宋体" w:cs="宋体"/>
              <w:bCs w:val="0"/>
              <w:szCs w:val="21"/>
            </w:rP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_Toc27069 </w:instrText>
          </w:r>
          <w:r>
            <w:rPr>
              <w:rFonts w:hint="eastAsia" w:ascii="宋体" w:hAnsi="宋体" w:eastAsia="宋体" w:cs="宋体"/>
              <w:bCs w:val="0"/>
              <w:szCs w:val="21"/>
            </w:rPr>
            <w:fldChar w:fldCharType="separate"/>
          </w:r>
          <w:r>
            <w:rPr>
              <w:rFonts w:hint="eastAsia" w:ascii="黑体" w:eastAsia="黑体"/>
              <w:i w:val="0"/>
              <w:lang w:val="en-US" w:eastAsia="zh-CN"/>
            </w:rPr>
            <w:t xml:space="preserve">6  </w:t>
          </w:r>
          <w:r>
            <w:rPr>
              <w:rFonts w:hint="eastAsia"/>
              <w:lang w:val="en-US" w:eastAsia="zh-CN"/>
            </w:rPr>
            <w:t>演练物资</w:t>
          </w:r>
          <w:r>
            <w:tab/>
          </w:r>
          <w:r>
            <w:fldChar w:fldCharType="begin"/>
          </w:r>
          <w:r>
            <w:instrText xml:space="preserve"> PAGEREF _Toc27069 \h </w:instrText>
          </w:r>
          <w:r>
            <w:fldChar w:fldCharType="separate"/>
          </w:r>
          <w:r>
            <w:t>2</w:t>
          </w:r>
          <w:r>
            <w:fldChar w:fldCharType="end"/>
          </w:r>
          <w:r>
            <w:rPr>
              <w:rFonts w:hint="eastAsia" w:ascii="宋体" w:hAnsi="宋体" w:eastAsia="宋体" w:cs="宋体"/>
              <w:bCs w:val="0"/>
              <w:szCs w:val="21"/>
            </w:rP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_Toc11107 </w:instrText>
          </w:r>
          <w:r>
            <w:rPr>
              <w:rFonts w:hint="eastAsia" w:ascii="宋体" w:hAnsi="宋体" w:eastAsia="宋体" w:cs="宋体"/>
              <w:bCs w:val="0"/>
              <w:szCs w:val="21"/>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lang w:val="en-US" w:eastAsia="zh-CN"/>
            </w:rPr>
            <w:t>设备</w:t>
          </w:r>
          <w:r>
            <w:tab/>
          </w:r>
          <w:r>
            <w:fldChar w:fldCharType="begin"/>
          </w:r>
          <w:r>
            <w:instrText xml:space="preserve"> PAGEREF _Toc11107 \h </w:instrText>
          </w:r>
          <w:r>
            <w:fldChar w:fldCharType="separate"/>
          </w:r>
          <w:r>
            <w:t>2</w:t>
          </w:r>
          <w:r>
            <w:fldChar w:fldCharType="end"/>
          </w:r>
          <w:r>
            <w:rPr>
              <w:rFonts w:hint="eastAsia" w:ascii="宋体" w:hAnsi="宋体" w:eastAsia="宋体" w:cs="宋体"/>
              <w:bCs w:val="0"/>
              <w:szCs w:val="21"/>
            </w:rP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_Toc9089 </w:instrText>
          </w:r>
          <w:r>
            <w:rPr>
              <w:rFonts w:hint="eastAsia" w:ascii="宋体" w:hAnsi="宋体" w:eastAsia="宋体" w:cs="宋体"/>
              <w:bCs w:val="0"/>
              <w:szCs w:val="21"/>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lang w:val="en-US" w:eastAsia="zh-CN"/>
            </w:rPr>
            <w:t>场地</w:t>
          </w:r>
          <w:r>
            <w:tab/>
          </w:r>
          <w:r>
            <w:fldChar w:fldCharType="begin"/>
          </w:r>
          <w:r>
            <w:instrText xml:space="preserve"> PAGEREF _Toc9089 \h </w:instrText>
          </w:r>
          <w:r>
            <w:fldChar w:fldCharType="separate"/>
          </w:r>
          <w:r>
            <w:t>3</w:t>
          </w:r>
          <w:r>
            <w:fldChar w:fldCharType="end"/>
          </w:r>
          <w:r>
            <w:rPr>
              <w:rFonts w:hint="eastAsia" w:ascii="宋体" w:hAnsi="宋体" w:eastAsia="宋体" w:cs="宋体"/>
              <w:bCs w:val="0"/>
              <w:szCs w:val="21"/>
            </w:rP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_Toc11369 </w:instrText>
          </w:r>
          <w:r>
            <w:rPr>
              <w:rFonts w:hint="eastAsia" w:ascii="宋体" w:hAnsi="宋体" w:eastAsia="宋体" w:cs="宋体"/>
              <w:bCs w:val="0"/>
              <w:szCs w:val="21"/>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lang w:val="en-US" w:eastAsia="zh-CN"/>
            </w:rPr>
            <w:t>经费</w:t>
          </w:r>
          <w:r>
            <w:tab/>
          </w:r>
          <w:r>
            <w:fldChar w:fldCharType="begin"/>
          </w:r>
          <w:r>
            <w:instrText xml:space="preserve"> PAGEREF _Toc11369 \h </w:instrText>
          </w:r>
          <w:r>
            <w:fldChar w:fldCharType="separate"/>
          </w:r>
          <w:r>
            <w:t>3</w:t>
          </w:r>
          <w:r>
            <w:fldChar w:fldCharType="end"/>
          </w:r>
          <w:r>
            <w:rPr>
              <w:rFonts w:hint="eastAsia" w:ascii="宋体" w:hAnsi="宋体" w:eastAsia="宋体" w:cs="宋体"/>
              <w:bCs w:val="0"/>
              <w:szCs w:val="21"/>
            </w:rP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_Toc1177 </w:instrText>
          </w:r>
          <w:r>
            <w:rPr>
              <w:rFonts w:hint="eastAsia" w:ascii="宋体" w:hAnsi="宋体" w:eastAsia="宋体" w:cs="宋体"/>
              <w:bCs w:val="0"/>
              <w:szCs w:val="21"/>
            </w:rPr>
            <w:fldChar w:fldCharType="separate"/>
          </w:r>
          <w:r>
            <w:rPr>
              <w:rFonts w:hint="eastAsia" w:ascii="黑体" w:eastAsia="黑体"/>
              <w:i w:val="0"/>
              <w:lang w:val="en-US" w:eastAsia="zh-CN"/>
            </w:rPr>
            <w:t xml:space="preserve">7  </w:t>
          </w:r>
          <w:r>
            <w:rPr>
              <w:rFonts w:hint="eastAsia"/>
              <w:lang w:val="en-US" w:eastAsia="zh-CN"/>
            </w:rPr>
            <w:t>演练流程</w:t>
          </w:r>
          <w:r>
            <w:tab/>
          </w:r>
          <w:r>
            <w:fldChar w:fldCharType="begin"/>
          </w:r>
          <w:r>
            <w:instrText xml:space="preserve"> PAGEREF _Toc1177 \h </w:instrText>
          </w:r>
          <w:r>
            <w:fldChar w:fldCharType="separate"/>
          </w:r>
          <w:r>
            <w:t>3</w:t>
          </w:r>
          <w:r>
            <w:fldChar w:fldCharType="end"/>
          </w:r>
          <w:r>
            <w:rPr>
              <w:rFonts w:hint="eastAsia" w:ascii="宋体" w:hAnsi="宋体" w:eastAsia="宋体" w:cs="宋体"/>
              <w:bCs w:val="0"/>
              <w:szCs w:val="21"/>
            </w:rP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_Toc3899 </w:instrText>
          </w:r>
          <w:r>
            <w:rPr>
              <w:rFonts w:hint="eastAsia" w:ascii="宋体" w:hAnsi="宋体" w:eastAsia="宋体" w:cs="宋体"/>
              <w:bCs w:val="0"/>
              <w:szCs w:val="21"/>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lang w:val="en-US" w:eastAsia="zh-CN"/>
            </w:rPr>
            <w:t>现场检查</w:t>
          </w:r>
          <w:r>
            <w:tab/>
          </w:r>
          <w:r>
            <w:fldChar w:fldCharType="begin"/>
          </w:r>
          <w:r>
            <w:instrText xml:space="preserve"> PAGEREF _Toc3899 \h </w:instrText>
          </w:r>
          <w:r>
            <w:fldChar w:fldCharType="separate"/>
          </w:r>
          <w:r>
            <w:t>3</w:t>
          </w:r>
          <w:r>
            <w:fldChar w:fldCharType="end"/>
          </w:r>
          <w:r>
            <w:rPr>
              <w:rFonts w:hint="eastAsia" w:ascii="宋体" w:hAnsi="宋体" w:eastAsia="宋体" w:cs="宋体"/>
              <w:bCs w:val="0"/>
              <w:szCs w:val="21"/>
            </w:rP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_Toc12784 </w:instrText>
          </w:r>
          <w:r>
            <w:rPr>
              <w:rFonts w:hint="eastAsia" w:ascii="宋体" w:hAnsi="宋体" w:eastAsia="宋体" w:cs="宋体"/>
              <w:bCs w:val="0"/>
              <w:szCs w:val="21"/>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lang w:val="en-US" w:eastAsia="zh-CN"/>
            </w:rPr>
            <w:t>演练启动</w:t>
          </w:r>
          <w:r>
            <w:tab/>
          </w:r>
          <w:r>
            <w:fldChar w:fldCharType="begin"/>
          </w:r>
          <w:r>
            <w:instrText xml:space="preserve"> PAGEREF _Toc12784 \h </w:instrText>
          </w:r>
          <w:r>
            <w:fldChar w:fldCharType="separate"/>
          </w:r>
          <w:r>
            <w:t>3</w:t>
          </w:r>
          <w:r>
            <w:fldChar w:fldCharType="end"/>
          </w:r>
          <w:r>
            <w:rPr>
              <w:rFonts w:hint="eastAsia" w:ascii="宋体" w:hAnsi="宋体" w:eastAsia="宋体" w:cs="宋体"/>
              <w:bCs w:val="0"/>
              <w:szCs w:val="21"/>
            </w:rPr>
            <w:fldChar w:fldCharType="end"/>
          </w:r>
        </w:p>
        <w:p>
          <w:pPr>
            <w:pStyle w:val="26"/>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_Toc19821 </w:instrText>
          </w:r>
          <w:r>
            <w:rPr>
              <w:rFonts w:hint="eastAsia" w:ascii="宋体" w:hAnsi="宋体" w:eastAsia="宋体" w:cs="宋体"/>
              <w:bCs w:val="0"/>
              <w:szCs w:val="21"/>
            </w:rP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lang w:val="en-US" w:eastAsia="zh-CN"/>
            </w:rPr>
            <w:t>执行实施</w:t>
          </w:r>
          <w:r>
            <w:tab/>
          </w:r>
          <w:r>
            <w:fldChar w:fldCharType="begin"/>
          </w:r>
          <w:r>
            <w:instrText xml:space="preserve"> PAGEREF _Toc19821 \h </w:instrText>
          </w:r>
          <w:r>
            <w:fldChar w:fldCharType="separate"/>
          </w:r>
          <w:r>
            <w:t>4</w:t>
          </w:r>
          <w:r>
            <w:fldChar w:fldCharType="end"/>
          </w:r>
          <w:r>
            <w:rPr>
              <w:rFonts w:hint="eastAsia" w:ascii="宋体" w:hAnsi="宋体" w:eastAsia="宋体" w:cs="宋体"/>
              <w:bCs w:val="0"/>
              <w:szCs w:val="21"/>
            </w:rP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_Toc19924 </w:instrText>
          </w:r>
          <w:r>
            <w:rPr>
              <w:rFonts w:hint="eastAsia" w:ascii="宋体" w:hAnsi="宋体" w:eastAsia="宋体" w:cs="宋体"/>
              <w:bCs w:val="0"/>
              <w:szCs w:val="21"/>
            </w:rPr>
            <w:fldChar w:fldCharType="separate"/>
          </w:r>
          <w:r>
            <w:rPr>
              <w:rFonts w:hint="eastAsia" w:ascii="黑体" w:eastAsia="黑体"/>
              <w:i w:val="0"/>
              <w:lang w:val="en-US" w:eastAsia="zh-CN"/>
            </w:rPr>
            <w:t xml:space="preserve">8  </w:t>
          </w:r>
          <w:r>
            <w:rPr>
              <w:rFonts w:hint="eastAsia"/>
              <w:lang w:val="en-US" w:eastAsia="zh-CN"/>
            </w:rPr>
            <w:t>评估与改进</w:t>
          </w:r>
          <w:r>
            <w:tab/>
          </w:r>
          <w:r>
            <w:fldChar w:fldCharType="begin"/>
          </w:r>
          <w:r>
            <w:instrText xml:space="preserve"> PAGEREF _Toc19924 \h </w:instrText>
          </w:r>
          <w:r>
            <w:fldChar w:fldCharType="separate"/>
          </w:r>
          <w:r>
            <w:t>6</w:t>
          </w:r>
          <w:r>
            <w:fldChar w:fldCharType="end"/>
          </w:r>
          <w:r>
            <w:rPr>
              <w:rFonts w:hint="eastAsia" w:ascii="宋体" w:hAnsi="宋体" w:eastAsia="宋体" w:cs="宋体"/>
              <w:bCs w:val="0"/>
              <w:szCs w:val="21"/>
            </w:rPr>
            <w:fldChar w:fldCharType="end"/>
          </w:r>
        </w:p>
        <w:p>
          <w:pPr>
            <w:pStyle w:val="21"/>
            <w:keepNext w:val="0"/>
            <w:keepLines w:val="0"/>
            <w:pageBreakBefore w:val="0"/>
            <w:widowControl w:val="0"/>
            <w:tabs>
              <w:tab w:val="right" w:leader="dot" w:pos="9354"/>
            </w:tabs>
            <w:kinsoku/>
            <w:wordWrap/>
            <w:overflowPunct/>
            <w:topLinePunct w:val="0"/>
            <w:autoSpaceDE/>
            <w:autoSpaceDN/>
            <w:bidi w:val="0"/>
            <w:adjustRightInd w:val="0"/>
            <w:snapToGrid/>
            <w:spacing w:line="240" w:lineRule="auto"/>
            <w:textAlignment w:val="auto"/>
          </w:pPr>
          <w:r>
            <w:rPr>
              <w:rFonts w:hint="eastAsia" w:ascii="宋体" w:hAnsi="宋体" w:eastAsia="宋体" w:cs="宋体"/>
              <w:bCs w:val="0"/>
              <w:szCs w:val="21"/>
            </w:rPr>
            <w:fldChar w:fldCharType="begin"/>
          </w:r>
          <w:r>
            <w:rPr>
              <w:rFonts w:hint="eastAsia" w:ascii="宋体" w:hAnsi="宋体" w:eastAsia="宋体" w:cs="宋体"/>
              <w:bCs w:val="0"/>
              <w:szCs w:val="21"/>
            </w:rPr>
            <w:instrText xml:space="preserve"> HYPERLINK \l _Toc31481 </w:instrText>
          </w:r>
          <w:r>
            <w:rPr>
              <w:rFonts w:hint="eastAsia" w:ascii="宋体" w:hAnsi="宋体" w:eastAsia="宋体" w:cs="宋体"/>
              <w:bCs w:val="0"/>
              <w:szCs w:val="21"/>
            </w:rPr>
            <w:fldChar w:fldCharType="separate"/>
          </w:r>
          <w:r>
            <w:rPr>
              <w:rFonts w:hint="eastAsia"/>
              <w:spacing w:val="105"/>
            </w:rPr>
            <w:t>参考文献</w:t>
          </w:r>
          <w:r>
            <w:tab/>
          </w:r>
          <w:r>
            <w:fldChar w:fldCharType="begin"/>
          </w:r>
          <w:r>
            <w:instrText xml:space="preserve"> PAGEREF _Toc31481 \h </w:instrText>
          </w:r>
          <w:r>
            <w:fldChar w:fldCharType="separate"/>
          </w:r>
          <w:r>
            <w:t>7</w:t>
          </w:r>
          <w:r>
            <w:fldChar w:fldCharType="end"/>
          </w:r>
          <w:r>
            <w:rPr>
              <w:rFonts w:hint="eastAsia" w:ascii="宋体" w:hAnsi="宋体" w:eastAsia="宋体" w:cs="宋体"/>
              <w:bCs w:val="0"/>
              <w:szCs w:val="21"/>
            </w:rPr>
            <w:fldChar w:fldCharType="end"/>
          </w:r>
        </w:p>
        <w:p>
          <w:pPr>
            <w:rPr>
              <w:rFonts w:hint="eastAsia" w:ascii="宋体" w:hAnsi="宋体" w:eastAsia="宋体" w:cs="宋体"/>
              <w:b w:val="0"/>
              <w:bCs w:val="0"/>
              <w:sz w:val="21"/>
              <w:szCs w:val="21"/>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rPr>
              <w:rFonts w:hint="eastAsia" w:ascii="宋体" w:hAnsi="宋体" w:eastAsia="宋体" w:cs="宋体"/>
              <w:bCs w:val="0"/>
              <w:szCs w:val="21"/>
            </w:rPr>
            <w:fldChar w:fldCharType="end"/>
          </w:r>
          <w:bookmarkEnd w:id="18"/>
        </w:p>
      </w:sdtContent>
    </w:sdt>
    <w:bookmarkEnd w:id="19"/>
    <w:bookmarkEnd w:id="20"/>
    <w:bookmarkEnd w:id="21"/>
    <w:p>
      <w:pPr>
        <w:pStyle w:val="94"/>
        <w:spacing w:before="900" w:after="468"/>
        <w:jc w:val="center"/>
      </w:pPr>
      <w:bookmarkStart w:id="22" w:name="_Toc1904"/>
      <w:bookmarkStart w:id="23" w:name="BookMark2"/>
      <w:r>
        <w:rPr>
          <w:spacing w:val="320"/>
        </w:rPr>
        <w:t>前</w:t>
      </w:r>
      <w:r>
        <w:t>言</w:t>
      </w:r>
      <w:bookmarkEnd w:id="22"/>
    </w:p>
    <w:p>
      <w:pPr>
        <w:pStyle w:val="61"/>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rPr>
      </w:pPr>
    </w:p>
    <w:p>
      <w:pPr>
        <w:pStyle w:val="61"/>
        <w:ind w:firstLine="420"/>
      </w:pPr>
      <w:r>
        <w:rPr>
          <w:rFonts w:hint="eastAsia"/>
        </w:rPr>
        <w:t>本文件按照</w:t>
      </w:r>
      <w:r>
        <w:rPr>
          <w:rFonts w:hint="default" w:ascii="Times New Roman" w:hAnsi="Times New Roman" w:cs="Times New Roman"/>
        </w:rPr>
        <w:t>GB/T 1.1</w:t>
      </w:r>
      <w:r>
        <w:rPr>
          <w:rFonts w:hint="eastAsia" w:ascii="Times New Roman" w:cs="Times New Roman"/>
          <w:lang w:eastAsia="zh-CN"/>
        </w:rPr>
        <w:t>—</w:t>
      </w:r>
      <w:r>
        <w:rPr>
          <w:rFonts w:hint="default" w:ascii="Times New Roman" w:hAnsi="Times New Roman" w:cs="Times New Roman"/>
        </w:rPr>
        <w:t>2020</w:t>
      </w:r>
      <w:r>
        <w:rPr>
          <w:rFonts w:hint="eastAsia"/>
        </w:rPr>
        <w:t>《标准化工作导则  第1部分：标准化文件的结构和起草规则》的规定起草。</w:t>
      </w:r>
    </w:p>
    <w:p>
      <w:pPr>
        <w:pStyle w:val="61"/>
        <w:ind w:firstLine="420"/>
      </w:pPr>
      <w:r>
        <w:rPr>
          <w:rFonts w:hint="eastAsia"/>
        </w:rPr>
        <w:t>请注意本文件的某些内容可能涉及专利。本文件的发布机构不承担识别专利的责任。</w:t>
      </w:r>
    </w:p>
    <w:p>
      <w:pPr>
        <w:pStyle w:val="61"/>
        <w:ind w:firstLine="420"/>
        <w:rPr>
          <w:rFonts w:hint="eastAsia"/>
        </w:rPr>
      </w:pPr>
      <w:r>
        <w:rPr>
          <w:rFonts w:hint="eastAsia"/>
        </w:rPr>
        <w:t>本</w:t>
      </w:r>
      <w:r>
        <w:rPr>
          <w:rFonts w:hint="eastAsia"/>
          <w:lang w:val="en-US" w:eastAsia="zh-CN"/>
        </w:rPr>
        <w:t>文件</w:t>
      </w:r>
      <w:r>
        <w:rPr>
          <w:rFonts w:hint="eastAsia"/>
        </w:rPr>
        <w:t>由江苏省卫生标准化技术委员会提出并归口。</w:t>
      </w:r>
    </w:p>
    <w:p>
      <w:pPr>
        <w:pStyle w:val="61"/>
        <w:ind w:firstLine="420"/>
        <w:rPr>
          <w:rFonts w:hint="eastAsia" w:eastAsia="宋体"/>
          <w:highlight w:val="none"/>
          <w:lang w:eastAsia="zh-CN"/>
        </w:rPr>
      </w:pPr>
      <w:r>
        <w:rPr>
          <w:rFonts w:hint="eastAsia"/>
          <w:highlight w:val="none"/>
        </w:rPr>
        <w:t>本文件起草单位：南京医科大学、</w:t>
      </w:r>
      <w:r>
        <w:rPr>
          <w:rFonts w:hint="eastAsia"/>
          <w:highlight w:val="none"/>
          <w:lang w:val="en-US" w:eastAsia="zh-CN"/>
        </w:rPr>
        <w:t>南京医科大学附属苏州医院</w:t>
      </w:r>
      <w:r>
        <w:rPr>
          <w:rFonts w:hint="eastAsia"/>
          <w:highlight w:val="none"/>
        </w:rPr>
        <w:t>、江苏亚寰软件股份有限公司</w:t>
      </w:r>
      <w:r>
        <w:rPr>
          <w:rFonts w:hint="eastAsia"/>
          <w:highlight w:val="none"/>
          <w:lang w:eastAsia="zh-CN"/>
        </w:rPr>
        <w:t>、江苏省疾病预防控制中心、江苏省卫生健康委员会。</w:t>
      </w:r>
    </w:p>
    <w:p>
      <w:pPr>
        <w:pStyle w:val="61"/>
        <w:ind w:firstLine="420"/>
        <w:rPr>
          <w:highlight w:val="none"/>
        </w:rPr>
      </w:pPr>
      <w:r>
        <w:rPr>
          <w:rFonts w:hint="eastAsia"/>
          <w:highlight w:val="none"/>
        </w:rPr>
        <w:t>本文件主要起草人：丁强、钱东福、陈彦、潘寅兵、张成、王可欣、谢欣照、王婷、焦阳阳、蒋昀洁、张慧娟、李春雨、陈亚。</w:t>
      </w:r>
    </w:p>
    <w:p>
      <w:pPr>
        <w:pStyle w:val="61"/>
        <w:ind w:firstLine="420"/>
      </w:pPr>
    </w:p>
    <w:p>
      <w:pPr>
        <w:pStyle w:val="61"/>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F605E91D0A9C4A18BFCC201F137CC6E2"/>
        </w:placeholder>
      </w:sdtPr>
      <w:sdtContent>
        <w:sdt>
          <w:sdtPr>
            <w:tag w:val="NEW_STAND_NAME"/>
            <w:id w:val="595910757"/>
            <w:lock w:val="sdtLocked"/>
            <w:placeholder>
              <w:docPart w:val="{2530711c-bef1-49b9-96fd-5559a6a4d662}"/>
            </w:placeholder>
          </w:sdtPr>
          <w:sdtContent>
            <w:p>
              <w:pPr>
                <w:pStyle w:val="182"/>
                <w:spacing w:before="3" w:beforeLines="1" w:after="686" w:afterLines="220"/>
              </w:pPr>
              <w:bookmarkStart w:id="25" w:name="NEW_STAND_NAME"/>
              <w:r>
                <w:rPr>
                  <w:rFonts w:hint="eastAsia"/>
                </w:rPr>
                <w:t>门诊应急演练指南</w:t>
              </w:r>
              <w:bookmarkEnd w:id="25"/>
            </w:p>
          </w:sdtContent>
        </w:sdt>
      </w:sdtContent>
    </w:sdt>
    <w:p>
      <w:pPr>
        <w:pStyle w:val="109"/>
        <w:spacing w:before="312" w:after="312"/>
      </w:pPr>
      <w:bookmarkStart w:id="26" w:name="_Toc26986530"/>
      <w:bookmarkStart w:id="27" w:name="_Toc17233333"/>
      <w:bookmarkStart w:id="28" w:name="_Toc31300"/>
      <w:bookmarkStart w:id="29" w:name="_Toc16807"/>
      <w:bookmarkStart w:id="30" w:name="_Toc126139274"/>
      <w:bookmarkStart w:id="31" w:name="_Toc26718930"/>
      <w:bookmarkStart w:id="32" w:name="_Toc1294"/>
      <w:bookmarkStart w:id="33" w:name="_Toc2396"/>
      <w:bookmarkStart w:id="34" w:name="_Toc126140464"/>
      <w:bookmarkStart w:id="35" w:name="_Toc24884218"/>
      <w:bookmarkStart w:id="36" w:name="_Toc26648465"/>
      <w:bookmarkStart w:id="37" w:name="_Toc97191423"/>
      <w:bookmarkStart w:id="38" w:name="_Toc126071764"/>
      <w:bookmarkStart w:id="39" w:name="_Toc17233325"/>
      <w:bookmarkStart w:id="40" w:name="_Toc24884211"/>
      <w:bookmarkStart w:id="41" w:name="_Toc26986771"/>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1"/>
        <w:ind w:firstLine="420"/>
      </w:pPr>
      <w:bookmarkStart w:id="42" w:name="_Toc24884212"/>
      <w:bookmarkStart w:id="43" w:name="_Toc17233326"/>
      <w:bookmarkStart w:id="44" w:name="_Toc26648466"/>
      <w:bookmarkStart w:id="45" w:name="_Toc17233334"/>
      <w:bookmarkStart w:id="46" w:name="_Toc24884219"/>
      <w:r>
        <w:rPr>
          <w:rFonts w:hint="eastAsia"/>
        </w:rPr>
        <w:t>本文件提供了门诊应急演练时涉及的演练分类、演练策划、演练实施以及演练总结等方面的指导和建议。</w:t>
      </w:r>
    </w:p>
    <w:p>
      <w:pPr>
        <w:pStyle w:val="61"/>
        <w:ind w:firstLine="420"/>
      </w:pPr>
      <w:r>
        <w:rPr>
          <w:rFonts w:hint="eastAsia"/>
        </w:rPr>
        <w:t>本文件适用于门诊应急演练的开展。</w:t>
      </w:r>
    </w:p>
    <w:p>
      <w:pPr>
        <w:pStyle w:val="109"/>
        <w:spacing w:before="312" w:after="312"/>
      </w:pPr>
      <w:bookmarkStart w:id="47" w:name="_Toc126071765"/>
      <w:bookmarkStart w:id="48" w:name="_Toc126139275"/>
      <w:bookmarkStart w:id="49" w:name="_Toc4258"/>
      <w:bookmarkStart w:id="50" w:name="_Toc26986772"/>
      <w:bookmarkStart w:id="51" w:name="_Toc2204"/>
      <w:bookmarkStart w:id="52" w:name="_Toc126140465"/>
      <w:bookmarkStart w:id="53" w:name="_Toc8077"/>
      <w:bookmarkStart w:id="54" w:name="_Toc3288"/>
      <w:bookmarkStart w:id="55" w:name="_Toc97191424"/>
      <w:bookmarkStart w:id="56" w:name="_Toc26986531"/>
      <w:bookmarkStart w:id="57" w:name="_Toc26718931"/>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EFE8A0F253964EA7AB996548F79244C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1"/>
            <w:ind w:firstLine="420"/>
          </w:pPr>
          <w:r>
            <w:rPr>
              <w:rFonts w:hint="eastAsia"/>
            </w:rPr>
            <w:t>本文件没有规范性引用文件。</w:t>
          </w:r>
        </w:p>
      </w:sdtContent>
    </w:sdt>
    <w:p>
      <w:pPr>
        <w:pStyle w:val="109"/>
        <w:spacing w:before="312" w:after="312"/>
        <w:rPr>
          <w:rFonts w:hint="eastAsia"/>
        </w:rPr>
      </w:pPr>
      <w:bookmarkStart w:id="58" w:name="_Toc126140466"/>
      <w:bookmarkStart w:id="59" w:name="_Toc32570"/>
      <w:bookmarkStart w:id="60" w:name="_Toc28024"/>
      <w:bookmarkStart w:id="61" w:name="_Toc126139276"/>
      <w:bookmarkStart w:id="62" w:name="_Toc97191425"/>
      <w:bookmarkStart w:id="63" w:name="_Toc10780"/>
      <w:bookmarkStart w:id="64" w:name="_Toc9508"/>
      <w:bookmarkStart w:id="65" w:name="_Toc126071766"/>
      <w:r>
        <w:rPr>
          <w:rFonts w:hint="eastAsia"/>
        </w:rPr>
        <w:t>术语和定义</w:t>
      </w:r>
      <w:bookmarkEnd w:id="58"/>
      <w:bookmarkEnd w:id="59"/>
      <w:bookmarkEnd w:id="60"/>
      <w:bookmarkEnd w:id="61"/>
      <w:bookmarkEnd w:id="62"/>
      <w:bookmarkEnd w:id="63"/>
      <w:bookmarkEnd w:id="64"/>
      <w:bookmarkEnd w:id="65"/>
    </w:p>
    <w:sdt>
      <w:sdtPr>
        <w:id w:val="-1909835108"/>
        <w:placeholder>
          <w:docPart w:val="4C92FD8E0C6B432392264418D542282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1"/>
            <w:ind w:firstLine="420"/>
          </w:pPr>
          <w:bookmarkStart w:id="66" w:name="_Toc26986532"/>
          <w:bookmarkEnd w:id="66"/>
          <w:r>
            <w:t>下列术语和定义适用于本文件。</w:t>
          </w:r>
        </w:p>
      </w:sdtContent>
    </w:sdt>
    <w:p>
      <w:pPr>
        <w:pStyle w:val="228"/>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jc w:val="both"/>
        <w:textAlignment w:val="auto"/>
        <w:outlineLvl w:val="9"/>
        <w:rPr>
          <w:rFonts w:ascii="黑体" w:hAnsi="黑体" w:eastAsia="黑体"/>
        </w:rPr>
      </w:pPr>
    </w:p>
    <w:p>
      <w:pPr>
        <w:pStyle w:val="61"/>
        <w:ind w:firstLine="420"/>
        <w:rPr>
          <w:rFonts w:hint="eastAsia" w:ascii="黑体" w:hAnsi="黑体" w:eastAsia="黑体"/>
        </w:rPr>
      </w:pPr>
      <w:r>
        <w:rPr>
          <w:rFonts w:hint="eastAsia" w:ascii="黑体" w:hAnsi="黑体" w:eastAsia="黑体"/>
        </w:rPr>
        <w:t xml:space="preserve">应急预案 </w:t>
      </w:r>
      <w:r>
        <w:rPr>
          <w:rFonts w:ascii="黑体" w:hAnsi="黑体" w:eastAsia="黑体"/>
        </w:rPr>
        <w:t xml:space="preserve"> </w:t>
      </w:r>
      <w:r>
        <w:rPr>
          <w:rFonts w:hint="default" w:ascii="Times New Roman" w:hAnsi="Times New Roman" w:eastAsia="黑体" w:cs="Times New Roman"/>
        </w:rPr>
        <w:t>emergency response plan</w:t>
      </w:r>
    </w:p>
    <w:p>
      <w:pPr>
        <w:pStyle w:val="61"/>
        <w:ind w:firstLine="420"/>
      </w:pPr>
      <w:r>
        <w:rPr>
          <w:rFonts w:hint="eastAsia"/>
        </w:rPr>
        <w:t>针对门诊可能发生的突发事件，为迅速、有序地开展应急行动而预先制定的行动方案。</w:t>
      </w:r>
    </w:p>
    <w:p>
      <w:pPr>
        <w:pStyle w:val="228"/>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jc w:val="both"/>
        <w:textAlignment w:val="auto"/>
        <w:outlineLvl w:val="9"/>
        <w:rPr>
          <w:rFonts w:ascii="黑体" w:hAnsi="黑体" w:eastAsia="黑体"/>
        </w:rPr>
      </w:pPr>
    </w:p>
    <w:p>
      <w:pPr>
        <w:pStyle w:val="61"/>
        <w:ind w:firstLine="420"/>
        <w:rPr>
          <w:rFonts w:hint="eastAsia" w:ascii="黑体" w:hAnsi="黑体" w:eastAsia="黑体"/>
        </w:rPr>
      </w:pPr>
      <w:r>
        <w:rPr>
          <w:rFonts w:hint="eastAsia" w:ascii="黑体" w:hAnsi="黑体" w:eastAsia="黑体"/>
        </w:rPr>
        <w:t xml:space="preserve">应急演练  </w:t>
      </w:r>
      <w:r>
        <w:rPr>
          <w:rFonts w:hint="default" w:ascii="Times New Roman" w:hAnsi="Times New Roman" w:eastAsia="黑体" w:cs="Times New Roman"/>
        </w:rPr>
        <w:t>emergency exercise</w:t>
      </w:r>
    </w:p>
    <w:p>
      <w:pPr>
        <w:pStyle w:val="61"/>
        <w:ind w:firstLine="420"/>
      </w:pPr>
      <w:r>
        <w:rPr>
          <w:rFonts w:hint="eastAsia"/>
        </w:rPr>
        <w:t>针对情景事件，按照应急</w:t>
      </w:r>
      <w:r>
        <w:rPr>
          <w:rFonts w:hint="eastAsia"/>
          <w:lang w:eastAsia="zh-CN"/>
        </w:rPr>
        <w:t>预案</w:t>
      </w:r>
      <w:r>
        <w:rPr>
          <w:rFonts w:hint="eastAsia"/>
        </w:rPr>
        <w:t>组织</w:t>
      </w:r>
      <w:r>
        <w:rPr>
          <w:rFonts w:hint="eastAsia"/>
          <w:lang w:eastAsia="zh-CN"/>
        </w:rPr>
        <w:t>实施</w:t>
      </w:r>
      <w:r>
        <w:rPr>
          <w:rFonts w:hint="eastAsia"/>
        </w:rPr>
        <w:t>预警、应急响应、指挥与协调、现场处置与救援、评估总结等活动。</w:t>
      </w:r>
    </w:p>
    <w:p>
      <w:pPr>
        <w:pStyle w:val="228"/>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jc w:val="both"/>
        <w:textAlignment w:val="auto"/>
        <w:outlineLvl w:val="9"/>
        <w:rPr>
          <w:rFonts w:ascii="黑体" w:hAnsi="黑体" w:eastAsia="黑体"/>
        </w:rPr>
      </w:pPr>
    </w:p>
    <w:p>
      <w:pPr>
        <w:pStyle w:val="61"/>
        <w:ind w:firstLine="420"/>
        <w:rPr>
          <w:rFonts w:hint="eastAsia" w:ascii="黑体" w:hAnsi="黑体" w:eastAsia="黑体"/>
        </w:rPr>
      </w:pPr>
      <w:r>
        <w:rPr>
          <w:rFonts w:hint="eastAsia" w:ascii="黑体" w:hAnsi="黑体" w:eastAsia="黑体"/>
        </w:rPr>
        <w:t xml:space="preserve">门诊突发病情变化事件  </w:t>
      </w:r>
      <w:r>
        <w:rPr>
          <w:rFonts w:hint="default" w:ascii="Times New Roman" w:hAnsi="Times New Roman" w:eastAsia="黑体" w:cs="Times New Roman"/>
        </w:rPr>
        <w:t>outpatient sudden illness change event</w:t>
      </w:r>
    </w:p>
    <w:p>
      <w:pPr>
        <w:pStyle w:val="61"/>
        <w:ind w:firstLine="420"/>
      </w:pPr>
      <w:r>
        <w:rPr>
          <w:rFonts w:hint="eastAsia"/>
        </w:rPr>
        <w:t>门诊患者就诊时突发危重急症的事件，比如患者在候诊或者就诊过程中突发心脏骤停、晕厥、抽搐、过敏性休克、急性心肌梗塞、哮喘等病情急性变化。</w:t>
      </w:r>
    </w:p>
    <w:p>
      <w:pPr>
        <w:pStyle w:val="228"/>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jc w:val="both"/>
        <w:textAlignment w:val="auto"/>
        <w:outlineLvl w:val="9"/>
        <w:rPr>
          <w:rFonts w:ascii="黑体" w:hAnsi="黑体" w:eastAsia="黑体"/>
        </w:rPr>
      </w:pPr>
    </w:p>
    <w:p>
      <w:pPr>
        <w:pStyle w:val="61"/>
        <w:ind w:firstLine="420"/>
        <w:rPr>
          <w:rFonts w:hint="eastAsia" w:ascii="黑体" w:hAnsi="黑体" w:eastAsia="黑体"/>
        </w:rPr>
      </w:pPr>
      <w:r>
        <w:rPr>
          <w:rFonts w:hint="eastAsia" w:ascii="黑体" w:hAnsi="黑体" w:eastAsia="黑体"/>
        </w:rPr>
        <w:t xml:space="preserve">门诊安全事件  </w:t>
      </w:r>
      <w:r>
        <w:rPr>
          <w:rFonts w:hint="default" w:ascii="Times New Roman" w:hAnsi="Times New Roman" w:eastAsia="黑体" w:cs="Times New Roman"/>
        </w:rPr>
        <w:t>outpatient safety incident</w:t>
      </w:r>
    </w:p>
    <w:p>
      <w:pPr>
        <w:pStyle w:val="61"/>
        <w:ind w:firstLine="420"/>
      </w:pPr>
      <w:r>
        <w:rPr>
          <w:rFonts w:hint="eastAsia"/>
        </w:rPr>
        <w:t>门诊运行过程中发生停电、停水、火警、电梯运行意外、恶意破坏医疗秩序、日常生活意外（烫伤、摔倒、坠床）、信息系统故障等可能危及门诊医患及其他工作人员的事件。</w:t>
      </w:r>
    </w:p>
    <w:p>
      <w:pPr>
        <w:pStyle w:val="228"/>
        <w:keepNext w:val="0"/>
        <w:keepLines w:val="0"/>
        <w:pageBreakBefore w:val="0"/>
        <w:widowControl/>
        <w:kinsoku/>
        <w:wordWrap/>
        <w:overflowPunct/>
        <w:topLinePunct w:val="0"/>
        <w:autoSpaceDE/>
        <w:autoSpaceDN/>
        <w:bidi w:val="0"/>
        <w:adjustRightInd/>
        <w:snapToGrid/>
        <w:spacing w:before="157" w:beforeLines="50" w:after="157" w:afterLines="50" w:line="240" w:lineRule="auto"/>
        <w:ind w:left="0" w:hanging="420" w:hangingChars="200"/>
        <w:jc w:val="both"/>
        <w:textAlignment w:val="auto"/>
        <w:outlineLvl w:val="9"/>
        <w:rPr>
          <w:rFonts w:ascii="黑体" w:hAnsi="黑体" w:eastAsia="黑体"/>
        </w:rPr>
      </w:pPr>
    </w:p>
    <w:p>
      <w:pPr>
        <w:pStyle w:val="61"/>
        <w:ind w:firstLine="420"/>
        <w:rPr>
          <w:rFonts w:hint="eastAsia" w:ascii="黑体" w:hAnsi="黑体" w:eastAsia="黑体"/>
        </w:rPr>
      </w:pPr>
      <w:r>
        <w:rPr>
          <w:rFonts w:hint="eastAsia" w:ascii="黑体" w:hAnsi="黑体" w:eastAsia="黑体"/>
        </w:rPr>
        <w:t xml:space="preserve">门诊急性传染病事件 </w:t>
      </w:r>
      <w:r>
        <w:rPr>
          <w:rFonts w:ascii="黑体" w:hAnsi="黑体" w:eastAsia="黑体"/>
        </w:rPr>
        <w:t xml:space="preserve"> </w:t>
      </w:r>
      <w:r>
        <w:rPr>
          <w:rFonts w:hint="default" w:ascii="Times New Roman" w:hAnsi="Times New Roman" w:eastAsia="黑体" w:cs="Times New Roman"/>
        </w:rPr>
        <w:t>outpatient acute infectious disease event</w:t>
      </w:r>
    </w:p>
    <w:p>
      <w:pPr>
        <w:pStyle w:val="61"/>
        <w:ind w:firstLine="420"/>
      </w:pPr>
      <w:r>
        <w:rPr>
          <w:rFonts w:hint="eastAsia"/>
          <w:lang w:val="en-US" w:eastAsia="zh-CN"/>
        </w:rPr>
        <w:t>门诊</w:t>
      </w:r>
      <w:r>
        <w:rPr>
          <w:rFonts w:hint="eastAsia"/>
        </w:rPr>
        <w:t>就诊患者</w:t>
      </w:r>
      <w:r>
        <w:rPr>
          <w:rFonts w:hint="eastAsia"/>
          <w:lang w:eastAsia="zh-CN"/>
        </w:rPr>
        <w:t>、</w:t>
      </w:r>
      <w:r>
        <w:rPr>
          <w:rFonts w:hint="eastAsia"/>
        </w:rPr>
        <w:t>陪护以及其他人员</w:t>
      </w:r>
      <w:r>
        <w:rPr>
          <w:rFonts w:hint="eastAsia"/>
          <w:lang w:val="en-US" w:eastAsia="zh-CN"/>
        </w:rPr>
        <w:t>中</w:t>
      </w:r>
      <w:r>
        <w:rPr>
          <w:rFonts w:hint="eastAsia"/>
        </w:rPr>
        <w:t>出现急性传染病确诊或者疑似患者，其可能导致传染病在门诊范围内通过空气、飞沫、接触等方式大范围传播</w:t>
      </w:r>
      <w:r>
        <w:rPr>
          <w:rFonts w:hint="eastAsia"/>
          <w:lang w:eastAsia="zh-CN"/>
        </w:rPr>
        <w:t>、</w:t>
      </w:r>
      <w:r>
        <w:rPr>
          <w:rFonts w:hint="eastAsia"/>
        </w:rPr>
        <w:t>危及门诊工作人员</w:t>
      </w:r>
      <w:r>
        <w:rPr>
          <w:rFonts w:hint="eastAsia"/>
          <w:lang w:val="en-US" w:eastAsia="zh-CN"/>
        </w:rPr>
        <w:t>和</w:t>
      </w:r>
      <w:r>
        <w:rPr>
          <w:rFonts w:hint="eastAsia"/>
        </w:rPr>
        <w:t>患者生命健康的事件。</w:t>
      </w:r>
    </w:p>
    <w:p>
      <w:pPr>
        <w:pStyle w:val="109"/>
        <w:spacing w:before="312" w:after="312"/>
        <w:rPr>
          <w:rFonts w:hint="eastAsia"/>
        </w:rPr>
      </w:pPr>
      <w:bookmarkStart w:id="67" w:name="_Toc18186"/>
      <w:bookmarkStart w:id="68" w:name="_Toc13030"/>
      <w:r>
        <w:rPr>
          <w:rFonts w:hint="eastAsia"/>
        </w:rPr>
        <w:t>演练场景</w:t>
      </w:r>
      <w:bookmarkEnd w:id="67"/>
      <w:bookmarkEnd w:id="68"/>
    </w:p>
    <w:p>
      <w:pPr>
        <w:pStyle w:val="61"/>
        <w:ind w:firstLine="420"/>
        <w:rPr>
          <w:rFonts w:hint="eastAsia"/>
          <w:lang w:val="en-US" w:eastAsia="zh-CN"/>
        </w:rPr>
      </w:pPr>
      <w:r>
        <w:rPr>
          <w:rFonts w:hint="eastAsia"/>
          <w:lang w:val="en-US" w:eastAsia="zh-CN"/>
        </w:rPr>
        <w:t>演练一般按照应急预案进行，应根据工作方案中设定的事故情景和预案中规定的程序开展演练工作。演练单位根据需要确定是否编制应急演练方案，编制应急演练方案一般采用表格形式，主要内容包括：模拟事故情景；处置行动与执行人员；指令与对白、步骤及时间安排；视频背景与字幕；演练解说词等。</w:t>
      </w:r>
    </w:p>
    <w:p>
      <w:pPr>
        <w:pStyle w:val="61"/>
        <w:ind w:firstLine="420"/>
        <w:rPr>
          <w:rFonts w:hint="eastAsia"/>
          <w:lang w:val="en-US" w:eastAsia="zh-CN"/>
        </w:rPr>
      </w:pPr>
      <w:r>
        <w:rPr>
          <w:rFonts w:hint="eastAsia"/>
          <w:lang w:val="en-US" w:eastAsia="zh-CN"/>
        </w:rPr>
        <w:t>门诊应急演练分为门诊突发病情变化事件应急演练、门诊安全事件应急演练、门诊急性传染病事件应急演练。</w:t>
      </w:r>
    </w:p>
    <w:p>
      <w:pPr>
        <w:pStyle w:val="109"/>
        <w:spacing w:before="312" w:after="312"/>
        <w:rPr>
          <w:rFonts w:hint="eastAsia"/>
        </w:rPr>
      </w:pPr>
      <w:bookmarkStart w:id="69" w:name="_Toc2301"/>
      <w:bookmarkStart w:id="70" w:name="_Toc31424"/>
      <w:r>
        <w:rPr>
          <w:rFonts w:hint="eastAsia"/>
        </w:rPr>
        <w:t>演练人员</w:t>
      </w:r>
      <w:bookmarkEnd w:id="69"/>
      <w:bookmarkEnd w:id="70"/>
    </w:p>
    <w:p>
      <w:pPr>
        <w:pStyle w:val="110"/>
        <w:spacing w:before="156" w:after="156"/>
        <w:rPr>
          <w:rFonts w:hint="eastAsia"/>
          <w:lang w:val="en-US" w:eastAsia="zh-CN"/>
        </w:rPr>
      </w:pPr>
      <w:bookmarkStart w:id="71" w:name="_Toc11358"/>
      <w:bookmarkStart w:id="72" w:name="_Toc19536"/>
      <w:r>
        <w:rPr>
          <w:rFonts w:hint="eastAsia"/>
          <w:lang w:val="en-US" w:eastAsia="zh-CN"/>
        </w:rPr>
        <w:t>准备组织团队</w:t>
      </w:r>
      <w:bookmarkEnd w:id="71"/>
      <w:bookmarkEnd w:id="72"/>
    </w:p>
    <w:p>
      <w:pPr>
        <w:pStyle w:val="27"/>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ind w:firstLine="420" w:firstLineChars="200"/>
        <w:textAlignment w:val="auto"/>
        <w:rPr>
          <w:rFonts w:hAnsi="Times New Roman" w:cs="Times New Roman"/>
          <w:sz w:val="21"/>
          <w:szCs w:val="20"/>
        </w:rPr>
      </w:pPr>
      <w:r>
        <w:rPr>
          <w:rFonts w:hint="eastAsia" w:ascii="宋体" w:hAnsi="Times New Roman" w:eastAsia="宋体" w:cs="Times New Roman"/>
          <w:kern w:val="0"/>
          <w:sz w:val="21"/>
          <w:szCs w:val="20"/>
          <w:lang w:val="en-US" w:eastAsia="zh-CN" w:bidi="ar-SA"/>
        </w:rPr>
        <w:t>根据演练内容、形式及规模成立演练领导小组，下设策划执行组、后勤保障组、宣传报道组、演练评估组等专业工作组。根据演练规模大小，其组织机构可进行调整</w:t>
      </w:r>
      <w:r>
        <w:rPr>
          <w:rFonts w:hint="eastAsia" w:hAnsi="Times New Roman" w:cs="Times New Roman"/>
          <w:kern w:val="0"/>
          <w:sz w:val="21"/>
          <w:szCs w:val="20"/>
          <w:lang w:val="en-US" w:eastAsia="zh-CN" w:bidi="ar-SA"/>
        </w:rPr>
        <w:t>。</w:t>
      </w:r>
    </w:p>
    <w:p>
      <w:pPr>
        <w:pStyle w:val="61"/>
        <w:keepNext w:val="0"/>
        <w:keepLines w:val="0"/>
        <w:pageBreakBefore w:val="0"/>
        <w:widowControl/>
        <w:numPr>
          <w:ilvl w:val="0"/>
          <w:numId w:val="32"/>
        </w:numPr>
        <w:kinsoku/>
        <w:wordWrap/>
        <w:overflowPunct/>
        <w:topLinePunct w:val="0"/>
        <w:autoSpaceDE/>
        <w:autoSpaceDN/>
        <w:bidi w:val="0"/>
        <w:adjustRightInd/>
        <w:snapToGrid/>
        <w:ind w:left="0" w:leftChars="0" w:firstLine="420" w:firstLineChars="200"/>
        <w:textAlignment w:val="auto"/>
      </w:pPr>
      <w:r>
        <w:t>演练领导小组</w:t>
      </w:r>
      <w:r>
        <w:rPr>
          <w:rFonts w:hint="eastAsia"/>
          <w:lang w:eastAsia="zh-CN"/>
        </w:rPr>
        <w:t>：</w:t>
      </w:r>
      <w:r>
        <w:t>主要负责环境应急演练活动筹备和实施过程中的组织领导工作，负责审定演练工作方案、演练经费、评估总结以及其他需要决定的重要事项等。领导小组组长一般应由演练组织部门或其上级部门负责人担任，副组长由演练组织部门或主要协办部门负责人担任，成员</w:t>
      </w:r>
      <w:r>
        <w:rPr>
          <w:rFonts w:hint="eastAsia"/>
          <w:lang w:val="en-US" w:eastAsia="zh-CN"/>
        </w:rPr>
        <w:t>由</w:t>
      </w:r>
      <w:r>
        <w:t>其他参与部门相关负责人</w:t>
      </w:r>
      <w:r>
        <w:rPr>
          <w:rFonts w:hint="eastAsia"/>
          <w:lang w:val="en-US" w:eastAsia="zh-CN"/>
        </w:rPr>
        <w:t>担任</w:t>
      </w:r>
      <w:r>
        <w:rPr>
          <w:rFonts w:hint="eastAsia"/>
          <w:lang w:eastAsia="zh-CN"/>
        </w:rPr>
        <w:t>；</w:t>
      </w:r>
      <w:r>
        <w:t xml:space="preserve"> </w:t>
      </w:r>
    </w:p>
    <w:p>
      <w:pPr>
        <w:pStyle w:val="61"/>
        <w:keepNext w:val="0"/>
        <w:keepLines w:val="0"/>
        <w:pageBreakBefore w:val="0"/>
        <w:widowControl/>
        <w:numPr>
          <w:ilvl w:val="0"/>
          <w:numId w:val="32"/>
        </w:numPr>
        <w:kinsoku/>
        <w:wordWrap/>
        <w:overflowPunct/>
        <w:topLinePunct w:val="0"/>
        <w:autoSpaceDE/>
        <w:autoSpaceDN/>
        <w:bidi w:val="0"/>
        <w:adjustRightInd/>
        <w:snapToGrid/>
        <w:ind w:left="0" w:leftChars="0" w:firstLine="420" w:firstLineChars="200"/>
        <w:textAlignment w:val="auto"/>
      </w:pPr>
      <w:r>
        <w:t>策划执行组：负责编制演练工作方案、脚本、观摩手册、保障方案、工作总结和改进计划；负责演练活动筹备及实施过程中与相关单位、工作组的联络和协调、演练场地布置、参演人员调度和演练进程控制等。策划执行组人员应具有一定的演练组织经验和突发情况应急处置经验</w:t>
      </w:r>
      <w:r>
        <w:rPr>
          <w:rFonts w:hint="eastAsia"/>
          <w:lang w:eastAsia="zh-CN"/>
        </w:rPr>
        <w:t>；</w:t>
      </w:r>
    </w:p>
    <w:p>
      <w:pPr>
        <w:pStyle w:val="61"/>
        <w:keepNext w:val="0"/>
        <w:keepLines w:val="0"/>
        <w:pageBreakBefore w:val="0"/>
        <w:widowControl/>
        <w:numPr>
          <w:ilvl w:val="0"/>
          <w:numId w:val="32"/>
        </w:numPr>
        <w:kinsoku/>
        <w:wordWrap/>
        <w:overflowPunct/>
        <w:topLinePunct w:val="0"/>
        <w:autoSpaceDE/>
        <w:autoSpaceDN/>
        <w:bidi w:val="0"/>
        <w:adjustRightInd/>
        <w:snapToGrid/>
        <w:ind w:left="0" w:leftChars="0" w:firstLine="420" w:firstLineChars="200"/>
        <w:textAlignment w:val="auto"/>
      </w:pPr>
      <w:r>
        <w:t>后勤保障组：负责演练后勤服务、活动工作经费、应急物资装备调拨、演练现场秩序和安全保卫等工作。保障组一般由后勤、财务、安保等部门人员组成</w:t>
      </w:r>
      <w:r>
        <w:rPr>
          <w:rFonts w:hint="eastAsia"/>
          <w:lang w:eastAsia="zh-CN"/>
        </w:rPr>
        <w:t>；</w:t>
      </w:r>
      <w:r>
        <w:t xml:space="preserve"> </w:t>
      </w:r>
    </w:p>
    <w:p>
      <w:pPr>
        <w:pStyle w:val="61"/>
        <w:keepNext w:val="0"/>
        <w:keepLines w:val="0"/>
        <w:pageBreakBefore w:val="0"/>
        <w:widowControl/>
        <w:numPr>
          <w:ilvl w:val="0"/>
          <w:numId w:val="32"/>
        </w:numPr>
        <w:kinsoku/>
        <w:wordWrap/>
        <w:overflowPunct/>
        <w:topLinePunct w:val="0"/>
        <w:autoSpaceDE/>
        <w:autoSpaceDN/>
        <w:bidi w:val="0"/>
        <w:adjustRightInd/>
        <w:snapToGrid/>
        <w:ind w:left="0" w:leftChars="0" w:firstLine="420" w:firstLineChars="200"/>
        <w:textAlignment w:val="auto"/>
      </w:pPr>
      <w:r>
        <w:t>宣传报道组：可根据演练需要设置宣传报道组，主要负责向社会、本单位发布演练公告，整理演练信息，组织新闻媒体和开展新闻发布等。</w:t>
      </w:r>
      <w:r>
        <w:rPr>
          <w:rFonts w:hint="eastAsia"/>
          <w:lang w:eastAsia="zh-CN"/>
        </w:rPr>
        <w:t>宣传组</w:t>
      </w:r>
      <w:r>
        <w:t>由宣传部门人员组成</w:t>
      </w:r>
      <w:r>
        <w:rPr>
          <w:rFonts w:hint="eastAsia"/>
          <w:lang w:eastAsia="zh-CN"/>
        </w:rPr>
        <w:t>；</w:t>
      </w:r>
    </w:p>
    <w:p>
      <w:pPr>
        <w:pStyle w:val="61"/>
        <w:keepNext w:val="0"/>
        <w:keepLines w:val="0"/>
        <w:pageBreakBefore w:val="0"/>
        <w:widowControl/>
        <w:numPr>
          <w:ilvl w:val="0"/>
          <w:numId w:val="32"/>
        </w:numPr>
        <w:kinsoku/>
        <w:wordWrap/>
        <w:overflowPunct/>
        <w:topLinePunct w:val="0"/>
        <w:autoSpaceDE/>
        <w:autoSpaceDN/>
        <w:bidi w:val="0"/>
        <w:adjustRightInd/>
        <w:snapToGrid/>
        <w:ind w:left="0" w:leftChars="0" w:firstLine="420" w:firstLineChars="200"/>
        <w:textAlignment w:val="auto"/>
      </w:pPr>
      <w:r>
        <w:t>演练评估组：负责对演练准备、组织与实施全过程进行评估；负责现场点评和总结评估，并提出意见建议。评估组应由生态环境或应急管理方面专家、相关领域专业技术人员组成。</w:t>
      </w:r>
    </w:p>
    <w:p>
      <w:pPr>
        <w:pStyle w:val="110"/>
        <w:spacing w:before="156" w:after="156"/>
        <w:rPr>
          <w:rFonts w:hint="eastAsia"/>
          <w:lang w:val="en-US" w:eastAsia="zh-CN"/>
        </w:rPr>
      </w:pPr>
      <w:bookmarkStart w:id="73" w:name="_Toc9854"/>
      <w:bookmarkStart w:id="74" w:name="_Toc9912"/>
      <w:r>
        <w:rPr>
          <w:rFonts w:hint="eastAsia"/>
          <w:lang w:val="en-US" w:eastAsia="zh-CN"/>
        </w:rPr>
        <w:t>现场实施团队</w:t>
      </w:r>
      <w:bookmarkEnd w:id="73"/>
      <w:bookmarkEnd w:id="74"/>
    </w:p>
    <w:p>
      <w:pPr>
        <w:pStyle w:val="137"/>
        <w:numPr>
          <w:ilvl w:val="0"/>
          <w:numId w:val="33"/>
        </w:numPr>
        <w:tabs>
          <w:tab w:val="clear" w:pos="1276"/>
        </w:tabs>
        <w:ind w:left="0" w:firstLine="420" w:firstLineChars="200"/>
        <w:rPr>
          <w:rFonts w:hint="eastAsia"/>
        </w:rPr>
      </w:pPr>
      <w:r>
        <w:rPr>
          <w:rFonts w:hint="eastAsia"/>
        </w:rPr>
        <w:t>区域负责人：由片区内护士担任，负责发现责任区内安全事件并启动应急响应程序</w:t>
      </w:r>
      <w:r>
        <w:rPr>
          <w:rFonts w:hint="eastAsia"/>
          <w:lang w:eastAsia="zh-CN"/>
        </w:rPr>
        <w:t>；</w:t>
      </w:r>
    </w:p>
    <w:p>
      <w:pPr>
        <w:pStyle w:val="137"/>
        <w:numPr>
          <w:ilvl w:val="0"/>
          <w:numId w:val="33"/>
        </w:numPr>
        <w:tabs>
          <w:tab w:val="clear" w:pos="1276"/>
        </w:tabs>
        <w:ind w:left="0" w:firstLine="420" w:firstLineChars="200"/>
        <w:jc w:val="both"/>
      </w:pPr>
      <w:r>
        <w:rPr>
          <w:rFonts w:hint="eastAsia"/>
        </w:rPr>
        <w:t>总值班：由门诊行政值班人员负责安全事件发生后的全部现场指挥、部门协调等事务，并</w:t>
      </w:r>
      <w:r>
        <w:t>成立现场指挥部</w:t>
      </w:r>
      <w:r>
        <w:rPr>
          <w:rFonts w:hint="eastAsia"/>
        </w:rPr>
        <w:t>，</w:t>
      </w:r>
      <w:r>
        <w:t>制定有针对性的应急处置措施</w:t>
      </w:r>
      <w:r>
        <w:rPr>
          <w:rFonts w:hint="eastAsia"/>
          <w:lang w:eastAsia="zh-CN"/>
        </w:rPr>
        <w:t>；</w:t>
      </w:r>
    </w:p>
    <w:p>
      <w:pPr>
        <w:pStyle w:val="137"/>
        <w:numPr>
          <w:ilvl w:val="0"/>
          <w:numId w:val="33"/>
        </w:numPr>
        <w:tabs>
          <w:tab w:val="clear" w:pos="1276"/>
        </w:tabs>
        <w:ind w:left="0" w:firstLine="420" w:firstLineChars="200"/>
        <w:jc w:val="both"/>
      </w:pPr>
      <w:r>
        <w:rPr>
          <w:rFonts w:hint="eastAsia"/>
        </w:rPr>
        <w:t>后勤保障组：分为后勤组和保障组，后勤组由医院信息科、医院消防人员、水电技工等人员职责转变组成，负责在安全事件发生后对现场进行抢险修复；保障组由保安、导医等职责转变组成，负责现场秩序的维护，防止恐慌等导致的秩序混乱引起二次伤害；</w:t>
      </w:r>
    </w:p>
    <w:p>
      <w:pPr>
        <w:pStyle w:val="137"/>
        <w:numPr>
          <w:ilvl w:val="0"/>
          <w:numId w:val="33"/>
        </w:numPr>
        <w:tabs>
          <w:tab w:val="clear" w:pos="1276"/>
        </w:tabs>
        <w:ind w:left="0" w:firstLine="420" w:firstLineChars="200"/>
        <w:jc w:val="both"/>
      </w:pPr>
      <w:r>
        <w:rPr>
          <w:rFonts w:hint="eastAsia"/>
        </w:rPr>
        <w:t>应急办：负责在事件发生后的应急处置，协助总值班完成相关职能并且进行合理的资源调配；</w:t>
      </w:r>
    </w:p>
    <w:p>
      <w:pPr>
        <w:pStyle w:val="137"/>
        <w:numPr>
          <w:ilvl w:val="0"/>
          <w:numId w:val="33"/>
        </w:numPr>
        <w:tabs>
          <w:tab w:val="clear" w:pos="1276"/>
        </w:tabs>
        <w:ind w:left="0" w:firstLine="420" w:firstLineChars="200"/>
      </w:pPr>
      <w:r>
        <w:rPr>
          <w:rFonts w:hint="eastAsia"/>
        </w:rPr>
        <w:t>医疗救治组：由门诊医护组成，负责危重患者的转运和医疗救治，并协助后勤保障组进行人员疏散与秩序维护</w:t>
      </w:r>
      <w:r>
        <w:rPr>
          <w:rFonts w:hint="eastAsia"/>
          <w:lang w:eastAsia="zh-CN"/>
        </w:rPr>
        <w:t>；</w:t>
      </w:r>
    </w:p>
    <w:p>
      <w:pPr>
        <w:pStyle w:val="137"/>
        <w:numPr>
          <w:ilvl w:val="0"/>
          <w:numId w:val="33"/>
        </w:numPr>
        <w:tabs>
          <w:tab w:val="clear" w:pos="1276"/>
        </w:tabs>
        <w:ind w:left="0" w:firstLine="420" w:firstLineChars="200"/>
        <w:jc w:val="both"/>
      </w:pPr>
      <w:r>
        <w:rPr>
          <w:rFonts w:hint="eastAsia"/>
        </w:rPr>
        <w:t>心理疏导组：突发事件发生期间或之后，采用应急心理干预技术对包括后方指挥协调的党员干部在内</w:t>
      </w:r>
      <w:r>
        <w:rPr>
          <w:rFonts w:hint="eastAsia"/>
          <w:lang w:eastAsia="zh-CN"/>
        </w:rPr>
        <w:t>的</w:t>
      </w:r>
      <w:r>
        <w:rPr>
          <w:rFonts w:hint="eastAsia"/>
        </w:rPr>
        <w:t>相关人群实施及时有效的心理干预，以降低他们罹患心理疾病和心理危机的概率。</w:t>
      </w:r>
    </w:p>
    <w:p>
      <w:pPr>
        <w:pStyle w:val="109"/>
        <w:spacing w:before="312" w:after="312"/>
        <w:rPr>
          <w:rFonts w:hint="eastAsia"/>
          <w:lang w:val="en-US" w:eastAsia="zh-CN"/>
        </w:rPr>
      </w:pPr>
      <w:bookmarkStart w:id="75" w:name="_Toc27069"/>
      <w:bookmarkStart w:id="76" w:name="_Toc3249"/>
      <w:r>
        <w:rPr>
          <w:rFonts w:hint="eastAsia"/>
          <w:lang w:val="en-US" w:eastAsia="zh-CN"/>
        </w:rPr>
        <w:t>演练物资</w:t>
      </w:r>
      <w:bookmarkEnd w:id="75"/>
      <w:bookmarkEnd w:id="76"/>
    </w:p>
    <w:p>
      <w:pPr>
        <w:spacing w:line="240" w:lineRule="auto"/>
        <w:ind w:firstLine="420" w:firstLineChars="200"/>
      </w:pPr>
      <w:r>
        <w:rPr>
          <w:rFonts w:hint="eastAsia"/>
        </w:rPr>
        <w:t>根据演练工作需要，做好演练物资的相关保障，主要包括演练设备、场地与经费。</w:t>
      </w:r>
    </w:p>
    <w:p>
      <w:pPr>
        <w:pStyle w:val="110"/>
        <w:spacing w:before="156" w:after="156"/>
        <w:rPr>
          <w:rFonts w:hint="eastAsia"/>
          <w:lang w:val="en-US" w:eastAsia="zh-CN"/>
        </w:rPr>
      </w:pPr>
      <w:bookmarkStart w:id="77" w:name="_Toc11107"/>
      <w:bookmarkStart w:id="78" w:name="_Toc6228"/>
      <w:r>
        <w:rPr>
          <w:rFonts w:hint="eastAsia"/>
          <w:lang w:val="en-US" w:eastAsia="zh-CN"/>
        </w:rPr>
        <w:t>设备</w:t>
      </w:r>
      <w:bookmarkEnd w:id="77"/>
      <w:bookmarkEnd w:id="78"/>
    </w:p>
    <w:p>
      <w:pPr>
        <w:spacing w:line="240" w:lineRule="auto"/>
        <w:ind w:firstLine="420" w:firstLineChars="200"/>
        <w:rPr>
          <w:rFonts w:hint="eastAsia" w:cs="Times New Roman"/>
        </w:rPr>
      </w:pPr>
      <w:r>
        <w:rPr>
          <w:rFonts w:hint="eastAsia" w:cs="Times New Roman"/>
        </w:rPr>
        <w:t>应根据演练工作需要，确定演练物资、器材与通讯设备。在特殊场所开展应急演练时，采用的抢救工具、演练设备、物资等应能满足场所和演练情景设定的防护要求。</w:t>
      </w:r>
    </w:p>
    <w:p>
      <w:pPr>
        <w:pStyle w:val="70"/>
        <w:spacing w:before="156" w:after="156"/>
        <w:rPr>
          <w:rFonts w:hint="eastAsia" w:hAnsi="Times New Roman" w:cs="Times New Roman"/>
        </w:rPr>
      </w:pPr>
      <w:r>
        <w:rPr>
          <w:rFonts w:hint="eastAsia" w:hAnsi="Times New Roman" w:cs="Times New Roman"/>
        </w:rPr>
        <w:t>突发病情变化事件</w:t>
      </w:r>
    </w:p>
    <w:p>
      <w:pPr>
        <w:spacing w:line="240" w:lineRule="auto"/>
        <w:ind w:firstLine="420" w:firstLineChars="200"/>
        <w:rPr>
          <w:rFonts w:hint="eastAsia" w:cs="Times New Roman"/>
        </w:rPr>
      </w:pPr>
      <w:r>
        <w:rPr>
          <w:rFonts w:hint="eastAsia" w:cs="Times New Roman"/>
        </w:rPr>
        <w:t>物品准备宜包括：</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rPr>
          <w:rFonts w:hint="eastAsia"/>
          <w:lang w:eastAsia="zh-CN"/>
        </w:rPr>
      </w:pPr>
      <w:r>
        <w:rPr>
          <w:rFonts w:hint="eastAsia"/>
          <w:lang w:val="en-US" w:eastAsia="zh-CN"/>
        </w:rPr>
        <w:t>防护装置：工作服、工作鞋袜、一次性工作帽、医用防护口罩、医用外科口罩、医用防护服、一次性隔离衣、护目镜、防护面屏、一次性乳胶手套、防水靴套、鞋套等；</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rPr>
          <w:rFonts w:hint="eastAsia" w:cs="Times New Roman"/>
        </w:rPr>
      </w:pPr>
      <w:r>
        <w:rPr>
          <w:rFonts w:hint="eastAsia" w:cs="Times New Roman"/>
        </w:rPr>
        <w:t xml:space="preserve">抢救车：门诊部每个诊疗区配置有抢救车，配备气管插管包、抢救药品等物品（参考急诊抢救室内抢救车），专人负责检查抢救车内相关设备； </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cs="Times New Roman"/>
        </w:rPr>
        <w:t>转运平车：平时存放于诊疗区空闲处，在突发病情变化事件发生后，由片区导医推转运平车至急救区域，并通过转运平车将患者转运急诊继续治疗。</w:t>
      </w:r>
    </w:p>
    <w:p>
      <w:pPr>
        <w:pStyle w:val="70"/>
        <w:spacing w:before="156" w:after="156"/>
        <w:rPr>
          <w:rFonts w:hint="eastAsia" w:hAnsi="Times New Roman" w:cs="Times New Roman"/>
          <w:lang w:val="en-US" w:eastAsia="zh-CN"/>
        </w:rPr>
      </w:pPr>
      <w:r>
        <w:rPr>
          <w:rFonts w:hint="eastAsia" w:hAnsi="Times New Roman" w:cs="Times New Roman"/>
          <w:lang w:val="en-US" w:eastAsia="zh-CN"/>
        </w:rPr>
        <w:t>门诊安全事件</w:t>
      </w:r>
    </w:p>
    <w:p>
      <w:pPr>
        <w:spacing w:line="240" w:lineRule="auto"/>
        <w:ind w:firstLine="420" w:firstLineChars="200"/>
      </w:pPr>
      <w:r>
        <w:rPr>
          <w:rFonts w:hint="eastAsia"/>
        </w:rPr>
        <w:t>物品准备宜包括：</w:t>
      </w:r>
    </w:p>
    <w:p>
      <w:pPr>
        <w:pStyle w:val="137"/>
        <w:keepNext w:val="0"/>
        <w:keepLines w:val="0"/>
        <w:pageBreakBefore w:val="0"/>
        <w:widowControl/>
        <w:numPr>
          <w:ilvl w:val="0"/>
          <w:numId w:val="0"/>
        </w:numPr>
        <w:kinsoku/>
        <w:wordWrap/>
        <w:overflowPunct/>
        <w:topLinePunct w:val="0"/>
        <w:autoSpaceDE/>
        <w:autoSpaceDN/>
        <w:bidi w:val="0"/>
        <w:adjustRightInd/>
        <w:snapToGrid/>
        <w:ind w:leftChars="0" w:firstLine="420" w:firstLineChars="200"/>
        <w:jc w:val="both"/>
        <w:textAlignment w:val="auto"/>
      </w:pPr>
      <w:r>
        <w:rPr>
          <w:rFonts w:hint="eastAsia"/>
        </w:rPr>
        <w:t>疏散用应急灯、荧光指挥棒；</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rPr>
        <w:t>现场抢险用灭火器、灭火毯、沙桶、防汛物资；</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rPr>
        <w:t>现场抢修工具；</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rPr>
        <w:t>通讯指挥设备；</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rPr>
        <w:t>平车、轮椅等转运设备及抢救车、抢救箱、氧气瓶等设备。</w:t>
      </w:r>
    </w:p>
    <w:p>
      <w:pPr>
        <w:pStyle w:val="70"/>
        <w:spacing w:before="156" w:after="156"/>
        <w:rPr>
          <w:rFonts w:hint="eastAsia" w:hAnsi="Times New Roman" w:cs="Times New Roman"/>
          <w:lang w:val="en-US" w:eastAsia="zh-CN"/>
        </w:rPr>
      </w:pPr>
      <w:r>
        <w:rPr>
          <w:rFonts w:hint="eastAsia" w:hAnsi="Times New Roman" w:cs="Times New Roman"/>
          <w:lang w:val="en-US" w:eastAsia="zh-CN"/>
        </w:rPr>
        <w:t>门诊急性传染病事件</w:t>
      </w:r>
    </w:p>
    <w:p>
      <w:pPr>
        <w:spacing w:line="240" w:lineRule="auto"/>
        <w:ind w:firstLine="420" w:firstLineChars="200"/>
      </w:pPr>
      <w:r>
        <w:rPr>
          <w:rFonts w:hint="eastAsia"/>
        </w:rPr>
        <w:t>物品准备宜包括工作服、工作鞋袜、一次性工作帽、医用防护口罩、医用外科口罩、医用防护服、一次性隔离衣、护目镜、防护面屏、一次性乳胶手套、防水靴套、鞋套、</w:t>
      </w:r>
      <w:r>
        <w:rPr>
          <w:rFonts w:hint="default" w:ascii="Times New Roman" w:hAnsi="Times New Roman" w:cs="Times New Roman"/>
        </w:rPr>
        <w:t>1000mg/L</w:t>
      </w:r>
      <w:r>
        <w:rPr>
          <w:rFonts w:hint="eastAsia"/>
        </w:rPr>
        <w:t>含氯消毒剂或</w:t>
      </w:r>
      <w:r>
        <w:rPr>
          <w:rFonts w:hint="default" w:ascii="Times New Roman" w:hAnsi="Times New Roman" w:cs="Times New Roman"/>
        </w:rPr>
        <w:t>500mg/L</w:t>
      </w:r>
      <w:r>
        <w:rPr>
          <w:rFonts w:hint="eastAsia"/>
        </w:rPr>
        <w:t>的二氧化氯消毒液等，并设置供疑似或确诊感染者通行的专门通道。依据《突发事件应对法》相关物品可根据一二三级防护等级配发。</w:t>
      </w:r>
    </w:p>
    <w:p>
      <w:pPr>
        <w:pStyle w:val="110"/>
        <w:spacing w:before="156" w:after="156"/>
        <w:rPr>
          <w:rFonts w:hint="eastAsia"/>
          <w:lang w:val="en-US" w:eastAsia="zh-CN"/>
        </w:rPr>
      </w:pPr>
      <w:bookmarkStart w:id="79" w:name="_Toc9089"/>
      <w:bookmarkStart w:id="80" w:name="_Toc9578"/>
      <w:r>
        <w:rPr>
          <w:rFonts w:hint="eastAsia"/>
          <w:lang w:val="en-US" w:eastAsia="zh-CN"/>
        </w:rPr>
        <w:t>场地</w:t>
      </w:r>
      <w:bookmarkEnd w:id="79"/>
      <w:bookmarkEnd w:id="80"/>
    </w:p>
    <w:p>
      <w:pPr>
        <w:spacing w:line="240" w:lineRule="auto"/>
        <w:ind w:firstLine="420" w:firstLineChars="200"/>
      </w:pPr>
      <w:r>
        <w:rPr>
          <w:rFonts w:hint="eastAsia"/>
        </w:rPr>
        <w:t>应根据事件情景、演练方式和内容，选择合适的演练场地。演练场地应满足演练活动需求，同时避免影响门诊的正常工作及患者就医秩序。</w:t>
      </w:r>
    </w:p>
    <w:p>
      <w:pPr>
        <w:pStyle w:val="110"/>
        <w:spacing w:before="156" w:after="156"/>
        <w:rPr>
          <w:rFonts w:hint="eastAsia"/>
          <w:lang w:val="en-US" w:eastAsia="zh-CN"/>
        </w:rPr>
      </w:pPr>
      <w:bookmarkStart w:id="81" w:name="_Toc28186"/>
      <w:bookmarkStart w:id="82" w:name="_Toc11369"/>
      <w:r>
        <w:rPr>
          <w:rFonts w:hint="eastAsia"/>
          <w:lang w:val="en-US" w:eastAsia="zh-CN"/>
        </w:rPr>
        <w:t>经费</w:t>
      </w:r>
      <w:bookmarkEnd w:id="81"/>
      <w:bookmarkEnd w:id="82"/>
    </w:p>
    <w:p>
      <w:pPr>
        <w:spacing w:line="240" w:lineRule="auto"/>
        <w:ind w:firstLine="420" w:firstLineChars="200"/>
      </w:pPr>
      <w:r>
        <w:rPr>
          <w:rFonts w:hint="eastAsia"/>
        </w:rPr>
        <w:t>应明确演练工作经费及承担单位，根据应急演练需要制定预算表说明主要经费用途，申请足够的应急演练经费。</w:t>
      </w:r>
    </w:p>
    <w:p>
      <w:pPr>
        <w:pStyle w:val="109"/>
        <w:spacing w:before="312" w:after="312"/>
        <w:rPr>
          <w:rFonts w:hint="eastAsia"/>
          <w:lang w:val="en-US" w:eastAsia="zh-CN"/>
        </w:rPr>
      </w:pPr>
      <w:bookmarkStart w:id="83" w:name="_Toc1121"/>
      <w:bookmarkStart w:id="84" w:name="_Toc1177"/>
      <w:r>
        <w:rPr>
          <w:rFonts w:hint="eastAsia"/>
          <w:lang w:val="en-US" w:eastAsia="zh-CN"/>
        </w:rPr>
        <w:t>演练流程</w:t>
      </w:r>
      <w:bookmarkEnd w:id="83"/>
      <w:bookmarkEnd w:id="84"/>
    </w:p>
    <w:p>
      <w:pPr>
        <w:pStyle w:val="110"/>
        <w:spacing w:before="156" w:after="156"/>
        <w:rPr>
          <w:rFonts w:hint="eastAsia"/>
          <w:lang w:val="en-US" w:eastAsia="zh-CN"/>
        </w:rPr>
      </w:pPr>
      <w:bookmarkStart w:id="85" w:name="_Toc28657"/>
      <w:bookmarkStart w:id="86" w:name="_Toc3899"/>
      <w:r>
        <w:rPr>
          <w:rFonts w:hint="eastAsia"/>
          <w:lang w:val="en-US" w:eastAsia="zh-CN"/>
        </w:rPr>
        <w:t>现场检查</w:t>
      </w:r>
      <w:bookmarkEnd w:id="85"/>
      <w:bookmarkEnd w:id="86"/>
    </w:p>
    <w:p>
      <w:pPr>
        <w:spacing w:line="240" w:lineRule="auto"/>
        <w:ind w:firstLine="420" w:firstLineChars="200"/>
      </w:pPr>
      <w:r>
        <w:rPr>
          <w:rFonts w:hint="eastAsia"/>
        </w:rPr>
        <w:t>应在演练正式开始前</w:t>
      </w:r>
      <w:r>
        <w:t>确认所需的工具、设备、设施、技术资料以及参演人员到位。对应急演练安全设备、设施进行检查确认，确保安全保障方案可行，所有设备、设施完好，电力、通信系统正常。</w:t>
      </w:r>
    </w:p>
    <w:p>
      <w:pPr>
        <w:pStyle w:val="110"/>
        <w:spacing w:before="156" w:after="156"/>
        <w:rPr>
          <w:rFonts w:hint="eastAsia"/>
          <w:lang w:val="en-US" w:eastAsia="zh-CN"/>
        </w:rPr>
      </w:pPr>
      <w:bookmarkStart w:id="87" w:name="_Toc12784"/>
      <w:bookmarkStart w:id="88" w:name="_Toc25541"/>
      <w:r>
        <w:rPr>
          <w:rFonts w:hint="eastAsia"/>
          <w:lang w:val="en-US" w:eastAsia="zh-CN"/>
        </w:rPr>
        <w:t>演练启动</w:t>
      </w:r>
      <w:bookmarkEnd w:id="87"/>
      <w:bookmarkEnd w:id="88"/>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pPr>
      <w:r>
        <w:rPr>
          <w:rFonts w:hint="eastAsia"/>
        </w:rPr>
        <w:t>应在演练正式开始前对参演人员进行情况说明，使其了解应急演练规则、场景及主要内容，岗位职责和注意事项。</w:t>
      </w:r>
    </w:p>
    <w:p>
      <w:pPr>
        <w:keepNext w:val="0"/>
        <w:keepLines w:val="0"/>
        <w:pageBreakBefore w:val="0"/>
        <w:widowControl w:val="0"/>
        <w:kinsoku/>
        <w:wordWrap/>
        <w:overflowPunct/>
        <w:topLinePunct w:val="0"/>
        <w:autoSpaceDE/>
        <w:autoSpaceDN/>
        <w:bidi w:val="0"/>
        <w:adjustRightInd w:val="0"/>
        <w:snapToGrid/>
        <w:spacing w:line="240" w:lineRule="auto"/>
        <w:ind w:firstLine="420" w:firstLineChars="200"/>
        <w:textAlignment w:val="auto"/>
      </w:pPr>
      <w:r>
        <w:rPr>
          <w:rFonts w:hint="eastAsia"/>
        </w:rPr>
        <w:t>应急演练总指挥宣布开始应急演练，参演人员按照设定的应急演练方案，参与应急响应行动。</w:t>
      </w:r>
    </w:p>
    <w:p>
      <w:pPr>
        <w:pStyle w:val="110"/>
        <w:spacing w:before="156" w:after="156"/>
        <w:rPr>
          <w:rFonts w:hint="eastAsia"/>
          <w:lang w:val="en-US" w:eastAsia="zh-CN"/>
        </w:rPr>
      </w:pPr>
      <w:bookmarkStart w:id="89" w:name="_Toc24499"/>
      <w:bookmarkStart w:id="90" w:name="_Toc19821"/>
      <w:r>
        <w:rPr>
          <w:rFonts w:hint="eastAsia"/>
          <w:lang w:val="en-US" w:eastAsia="zh-CN"/>
        </w:rPr>
        <w:t>执行实施</w:t>
      </w:r>
      <w:bookmarkEnd w:id="89"/>
      <w:bookmarkEnd w:id="90"/>
    </w:p>
    <w:p>
      <w:pPr>
        <w:spacing w:line="240" w:lineRule="auto"/>
        <w:ind w:firstLine="420" w:firstLineChars="200"/>
      </w:pPr>
      <w:r>
        <w:rPr>
          <w:rFonts w:hint="eastAsia"/>
        </w:rPr>
        <w:t>应按照应急演练工作方案，开始应急演练，有序推进各个场景，具体流程如下。</w:t>
      </w:r>
    </w:p>
    <w:p>
      <w:pPr>
        <w:pStyle w:val="70"/>
        <w:spacing w:before="156" w:after="156"/>
        <w:rPr>
          <w:rFonts w:hint="eastAsia" w:hAnsi="Times New Roman" w:cs="Times New Roman"/>
          <w:lang w:val="en-US" w:eastAsia="zh-CN"/>
        </w:rPr>
      </w:pPr>
      <w:bookmarkStart w:id="91" w:name="_Toc126139285"/>
      <w:bookmarkStart w:id="92" w:name="_Toc126071775"/>
      <w:bookmarkStart w:id="93" w:name="_Toc126140475"/>
      <w:r>
        <w:rPr>
          <w:rFonts w:hint="eastAsia" w:hAnsi="Times New Roman" w:cs="Times New Roman"/>
          <w:lang w:val="en-US" w:eastAsia="zh-CN"/>
        </w:rPr>
        <w:t>门诊突发病情变化事件</w:t>
      </w:r>
      <w:bookmarkEnd w:id="91"/>
      <w:bookmarkEnd w:id="92"/>
      <w:bookmarkEnd w:id="93"/>
    </w:p>
    <w:p>
      <w:pPr>
        <w:pStyle w:val="61"/>
        <w:ind w:firstLine="420"/>
      </w:pPr>
      <w:r>
        <w:rPr>
          <w:rFonts w:hint="eastAsia"/>
        </w:rPr>
        <w:t>应急演练宜按以下流程进行，演练流程图见</w:t>
      </w:r>
      <w:r>
        <w:rPr>
          <w:rFonts w:hint="eastAsia" w:ascii="Times New Roman" w:cs="Times New Roman"/>
          <w:lang w:val="en-US" w:eastAsia="zh-CN"/>
        </w:rPr>
        <w:t>图1</w:t>
      </w:r>
      <w:r>
        <w:rPr>
          <w:rFonts w:hint="eastAsia"/>
        </w:rPr>
        <w:t>。</w:t>
      </w:r>
    </w:p>
    <w:p>
      <w:pPr>
        <w:pStyle w:val="179"/>
        <w:numPr>
          <w:ilvl w:val="0"/>
          <w:numId w:val="34"/>
        </w:numPr>
      </w:pPr>
      <w:r>
        <w:rPr>
          <w:rFonts w:hint="eastAsia"/>
        </w:rPr>
        <w:t>发现患者病情变化，由片区内评估人员负责对患者进行评估，并上报区域负责人。</w:t>
      </w:r>
    </w:p>
    <w:p>
      <w:pPr>
        <w:pStyle w:val="179"/>
      </w:pPr>
      <w:r>
        <w:rPr>
          <w:rFonts w:hint="eastAsia"/>
        </w:rPr>
        <w:t>区域负责人告知广播室，广播室通过广播系统进行广播。</w:t>
      </w:r>
    </w:p>
    <w:p>
      <w:pPr>
        <w:pStyle w:val="179"/>
      </w:pPr>
      <w:r>
        <w:rPr>
          <w:rFonts w:hint="eastAsia"/>
        </w:rPr>
        <w:t>在广播发出后，快速反应小组迅速反应并对患者进行现场处置，片区责任护士准备抢救车、开放静脉通路。</w:t>
      </w:r>
    </w:p>
    <w:p>
      <w:pPr>
        <w:pStyle w:val="179"/>
      </w:pPr>
      <w:r>
        <w:rPr>
          <w:rFonts w:hint="eastAsia"/>
        </w:rPr>
        <w:t>片区导医通过转运平车将患者转运急诊继续治疗。</w:t>
      </w:r>
    </w:p>
    <w:p>
      <w:pPr>
        <w:pStyle w:val="179"/>
      </w:pPr>
      <w:r>
        <w:rPr>
          <w:rFonts w:hint="eastAsia"/>
        </w:rPr>
        <w:t>后勤梯控人员控制电梯到达指定楼层，协助转运患者。</w:t>
      </w:r>
    </w:p>
    <w:p>
      <w:pPr>
        <w:pStyle w:val="179"/>
      </w:pPr>
      <w:r>
        <w:rPr>
          <w:rFonts w:hint="eastAsia"/>
        </w:rPr>
        <w:t>救援结束后，由专人负责对患者预后进行跟踪随访。</w:t>
      </w:r>
    </w:p>
    <w:p>
      <w:pPr>
        <w:pStyle w:val="61"/>
        <w:ind w:firstLine="420"/>
        <w:jc w:val="center"/>
      </w:pPr>
      <w:r>
        <w:drawing>
          <wp:inline distT="0" distB="0" distL="0" distR="0">
            <wp:extent cx="2983865" cy="1812290"/>
            <wp:effectExtent l="0" t="0" r="6985"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004056" cy="1824278"/>
                    </a:xfrm>
                    <a:prstGeom prst="rect">
                      <a:avLst/>
                    </a:prstGeom>
                    <a:noFill/>
                  </pic:spPr>
                </pic:pic>
              </a:graphicData>
            </a:graphic>
          </wp:inline>
        </w:drawing>
      </w:r>
    </w:p>
    <w:p>
      <w:pPr>
        <w:pStyle w:val="119"/>
        <w:spacing w:before="156" w:after="156"/>
        <w:ind w:left="1260"/>
        <w:rPr>
          <w:rFonts w:hint="eastAsia" w:ascii="宋体" w:hAnsi="宋体" w:eastAsia="宋体" w:cs="宋体"/>
        </w:rPr>
      </w:pPr>
      <w:r>
        <w:rPr>
          <w:rFonts w:hint="eastAsia" w:ascii="宋体" w:hAnsi="宋体" w:eastAsia="宋体" w:cs="宋体"/>
        </w:rPr>
        <w:t>门诊患者突发医学病情变化应急演练流程图</w:t>
      </w:r>
    </w:p>
    <w:p>
      <w:pPr>
        <w:pStyle w:val="70"/>
        <w:spacing w:before="156" w:after="156"/>
        <w:rPr>
          <w:rFonts w:hint="eastAsia" w:hAnsi="Times New Roman" w:cs="Times New Roman"/>
          <w:lang w:val="en-US" w:eastAsia="zh-CN"/>
        </w:rPr>
      </w:pPr>
      <w:r>
        <w:rPr>
          <w:rFonts w:hint="eastAsia" w:hAnsi="Times New Roman" w:cs="Times New Roman"/>
          <w:lang w:val="en-US" w:eastAsia="zh-CN"/>
        </w:rPr>
        <w:t>门诊安全事件</w:t>
      </w:r>
    </w:p>
    <w:p>
      <w:pPr>
        <w:pStyle w:val="61"/>
        <w:ind w:left="0" w:leftChars="0" w:firstLine="420" w:firstLineChars="200"/>
      </w:pPr>
      <w:r>
        <w:rPr>
          <w:rFonts w:hint="eastAsia"/>
        </w:rPr>
        <w:t>应急演练宜按以下流程进行，演练流程图</w:t>
      </w:r>
      <w:r>
        <w:rPr>
          <w:rFonts w:hint="default" w:ascii="Times New Roman" w:hAnsi="Times New Roman" w:cs="Times New Roman"/>
        </w:rPr>
        <w:t>见</w:t>
      </w:r>
      <w:r>
        <w:rPr>
          <w:rFonts w:hint="eastAsia" w:ascii="Times New Roman" w:cs="Times New Roman"/>
          <w:lang w:val="en-US" w:eastAsia="zh-CN"/>
        </w:rPr>
        <w:t>图2</w:t>
      </w:r>
      <w:r>
        <w:rPr>
          <w:rFonts w:hint="eastAsia"/>
        </w:rPr>
        <w:t>。</w:t>
      </w:r>
    </w:p>
    <w:p>
      <w:pPr>
        <w:pStyle w:val="179"/>
        <w:numPr>
          <w:ilvl w:val="0"/>
          <w:numId w:val="34"/>
        </w:numPr>
      </w:pPr>
      <w:r>
        <w:rPr>
          <w:rFonts w:hint="eastAsia"/>
        </w:rPr>
        <w:t>发生安全事件时，值班护士或者保安立刻汇报区域负责人。</w:t>
      </w:r>
    </w:p>
    <w:p>
      <w:pPr>
        <w:pStyle w:val="179"/>
      </w:pPr>
      <w:r>
        <w:rPr>
          <w:rFonts w:hint="eastAsia"/>
        </w:rPr>
        <w:t>区域负责人接到报告后，前往现场进行评估，并汇报总值班。</w:t>
      </w:r>
    </w:p>
    <w:p>
      <w:pPr>
        <w:pStyle w:val="179"/>
      </w:pPr>
      <w:r>
        <w:rPr>
          <w:rFonts w:hint="eastAsia"/>
        </w:rPr>
        <w:t>总值班通知并协调后勤保障组、应急办、医疗救治组开展工作。</w:t>
      </w:r>
    </w:p>
    <w:p>
      <w:pPr>
        <w:pStyle w:val="179"/>
      </w:pPr>
      <w:r>
        <w:rPr>
          <w:rFonts w:hint="eastAsia"/>
        </w:rPr>
        <w:t>后勤保障组在接到报警后，协助门诊医护对门诊就诊的患者进行疏散等，维持门诊秩序，防止秩序混乱导致踩踏等恶性事件。并组织院内消防人员、水电检修等技术人员进行现场抢修。</w:t>
      </w:r>
    </w:p>
    <w:p>
      <w:pPr>
        <w:pStyle w:val="179"/>
      </w:pPr>
      <w:r>
        <w:rPr>
          <w:rFonts w:hint="eastAsia"/>
        </w:rPr>
        <w:t>应急办根据安全事件类型，协调对应的抢修设备、资源，并负责协助总值班指挥、协调其他组织工作。</w:t>
      </w:r>
    </w:p>
    <w:p>
      <w:pPr>
        <w:pStyle w:val="179"/>
      </w:pPr>
      <w:r>
        <w:rPr>
          <w:rFonts w:hint="eastAsia"/>
        </w:rPr>
        <w:t>医疗救治组对危重症患者进行转运，开展现场急救。</w:t>
      </w:r>
    </w:p>
    <w:p>
      <w:pPr>
        <w:pStyle w:val="179"/>
      </w:pPr>
      <w:r>
        <w:rPr>
          <w:rFonts w:hint="eastAsia"/>
        </w:rPr>
        <w:t>门诊部在应急演练之后针对演练暴露的问题等开展点评指导，进行溯因并改进。</w:t>
      </w:r>
    </w:p>
    <w:p>
      <w:pPr>
        <w:pStyle w:val="61"/>
        <w:ind w:firstLine="420"/>
        <w:jc w:val="center"/>
        <w:rPr>
          <w:rFonts w:ascii="等线" w:hAnsi="等线" w:eastAsia="等线"/>
          <w:szCs w:val="21"/>
        </w:rPr>
      </w:pPr>
      <w:r>
        <w:drawing>
          <wp:inline distT="0" distB="0" distL="0" distR="0">
            <wp:extent cx="3211830" cy="2421890"/>
            <wp:effectExtent l="0" t="0" r="7620" b="6985"/>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218063" cy="2426862"/>
                    </a:xfrm>
                    <a:prstGeom prst="rect">
                      <a:avLst/>
                    </a:prstGeom>
                    <a:noFill/>
                    <a:ln>
                      <a:noFill/>
                    </a:ln>
                  </pic:spPr>
                </pic:pic>
              </a:graphicData>
            </a:graphic>
          </wp:inline>
        </w:drawing>
      </w:r>
    </w:p>
    <w:p>
      <w:pPr>
        <w:jc w:val="center"/>
        <w:rPr>
          <w:rFonts w:hint="default" w:ascii="Times New Roman" w:hAnsi="Times New Roman" w:eastAsia="宋体" w:cs="Times New Roman"/>
        </w:rPr>
      </w:pPr>
      <w:r>
        <w:rPr>
          <w:rFonts w:hint="default" w:ascii="Times New Roman" w:hAnsi="Times New Roman" w:eastAsia="宋体" w:cs="Times New Roman"/>
        </w:rPr>
        <w:t>图2 安全事件类应急演练流程图</w:t>
      </w:r>
      <w:bookmarkStart w:id="94" w:name="_Toc126071777"/>
      <w:bookmarkStart w:id="95" w:name="_Toc126140477"/>
      <w:bookmarkStart w:id="96" w:name="_Toc126139287"/>
    </w:p>
    <w:p>
      <w:pPr>
        <w:pStyle w:val="70"/>
        <w:spacing w:before="156" w:after="156"/>
        <w:rPr>
          <w:rFonts w:hint="eastAsia" w:hAnsi="Times New Roman" w:cs="Times New Roman"/>
          <w:lang w:val="en-US" w:eastAsia="zh-CN"/>
        </w:rPr>
      </w:pPr>
      <w:r>
        <w:rPr>
          <w:rFonts w:hint="eastAsia" w:hAnsi="Times New Roman" w:cs="Times New Roman"/>
          <w:lang w:val="en-US" w:eastAsia="zh-CN"/>
        </w:rPr>
        <w:t>门诊急性传染病事件</w:t>
      </w:r>
      <w:bookmarkEnd w:id="94"/>
      <w:bookmarkEnd w:id="95"/>
      <w:bookmarkEnd w:id="96"/>
    </w:p>
    <w:p>
      <w:pPr>
        <w:pStyle w:val="61"/>
        <w:ind w:left="0" w:leftChars="0" w:firstLine="420" w:firstLineChars="200"/>
      </w:pPr>
      <w:r>
        <w:rPr>
          <w:rFonts w:hint="eastAsia"/>
        </w:rPr>
        <w:t>应急演练宜按以下流程进行，演练流程图</w:t>
      </w:r>
      <w:r>
        <w:rPr>
          <w:rFonts w:hint="default" w:ascii="Times New Roman" w:hAnsi="Times New Roman" w:cs="Times New Roman"/>
        </w:rPr>
        <w:t>见</w:t>
      </w:r>
      <w:r>
        <w:rPr>
          <w:rFonts w:hint="eastAsia" w:ascii="Times New Roman" w:cs="Times New Roman"/>
          <w:lang w:val="en-US" w:eastAsia="zh-CN"/>
        </w:rPr>
        <w:t>图3</w:t>
      </w:r>
      <w:r>
        <w:rPr>
          <w:rFonts w:hint="eastAsia"/>
        </w:rPr>
        <w:t>。</w:t>
      </w:r>
    </w:p>
    <w:p>
      <w:pPr>
        <w:pStyle w:val="179"/>
        <w:numPr>
          <w:ilvl w:val="0"/>
          <w:numId w:val="34"/>
        </w:numPr>
      </w:pPr>
      <w:r>
        <w:rPr>
          <w:rFonts w:hint="eastAsia"/>
        </w:rPr>
        <w:t>检验科或者门诊医生在发现传染病确诊或者疑似患者后，立即向科主任汇报，并由科主任上报至指挥组安全员。安全员立即报告指挥组值班领导，并与发现传染病的检验科或者门诊医生进行联系。</w:t>
      </w:r>
    </w:p>
    <w:p>
      <w:pPr>
        <w:pStyle w:val="179"/>
      </w:pPr>
      <w:r>
        <w:rPr>
          <w:rFonts w:hint="eastAsia"/>
        </w:rPr>
        <w:t>指挥组启动对应疾病的应急预案。</w:t>
      </w:r>
    </w:p>
    <w:p>
      <w:pPr>
        <w:pStyle w:val="179"/>
      </w:pPr>
      <w:r>
        <w:rPr>
          <w:rFonts w:hint="eastAsia"/>
        </w:rPr>
        <w:t>指挥组成员批准当前事件为紧急事件，对外向疾控部门汇报，对内协调各组人员及物资。</w:t>
      </w:r>
    </w:p>
    <w:p>
      <w:pPr>
        <w:pStyle w:val="179"/>
      </w:pPr>
      <w:r>
        <w:rPr>
          <w:rFonts w:hint="eastAsia"/>
        </w:rPr>
        <w:t>后勤保障组配发对应等级的防护物资，关闭出入门诊通道、封闭门诊，在出入口设置保卫人员对被隔离的患者进行疏导，并通过广播、大厅屏幕发布相关信息。</w:t>
      </w:r>
    </w:p>
    <w:p>
      <w:pPr>
        <w:pStyle w:val="179"/>
      </w:pPr>
      <w:r>
        <w:rPr>
          <w:rFonts w:hint="eastAsia"/>
        </w:rPr>
        <w:t>感控组告诉诊区内人员采取相关隔离措施，成立流调小组开展流调，记录相关人员信息，每个区域配置至少两组流调人员。发现密接和次密接人员（</w:t>
      </w:r>
      <w:r>
        <w:t>密接者即密切接触者，指疑似病例和确诊病例出现症状前</w:t>
      </w:r>
      <w:r>
        <w:rPr>
          <w:rFonts w:hint="default" w:ascii="Times New Roman" w:hAnsi="Times New Roman" w:cs="Times New Roman"/>
        </w:rPr>
        <w:t>2天</w:t>
      </w:r>
      <w:r>
        <w:rPr>
          <w:rFonts w:hint="default" w:ascii="Times New Roman" w:hAnsi="Times New Roman" w:cs="Times New Roman"/>
          <w:lang w:eastAsia="zh-CN"/>
        </w:rPr>
        <w:t>或</w:t>
      </w:r>
      <w:r>
        <w:rPr>
          <w:rFonts w:hint="default" w:ascii="Times New Roman" w:hAnsi="Times New Roman" w:cs="Times New Roman"/>
        </w:rPr>
        <w:t>无症状感染者采集标本前2天开始</w:t>
      </w:r>
      <w:r>
        <w:t>，和他们有共同居住生活、同一密闭环境工作、聚餐和娱乐等近距离接触且未采取有效防护的人员</w:t>
      </w:r>
      <w:r>
        <w:rPr>
          <w:rFonts w:hint="eastAsia"/>
        </w:rPr>
        <w:t>；</w:t>
      </w:r>
      <w:r>
        <w:t>次密接者即密接的密接，指从密接者与病例或无症状感染者发生首次接触，到被隔离管理期间，与密切接触者有近距离接触且未采取有效防护的人员</w:t>
      </w:r>
      <w:r>
        <w:rPr>
          <w:rFonts w:hint="eastAsia"/>
        </w:rPr>
        <w:t>）汇报至安全员，并转移到不同的隔离点进行监测。</w:t>
      </w:r>
    </w:p>
    <w:p>
      <w:pPr>
        <w:pStyle w:val="179"/>
      </w:pPr>
      <w:r>
        <w:rPr>
          <w:rFonts w:hint="eastAsia"/>
        </w:rPr>
        <w:t>医疗保障小组负责治疗危重症患者，安排心理疏导组对隔离区内患者和医护人员进行疏导。医疗保障小组在事件结束后对患者进行健康随访。</w:t>
      </w:r>
    </w:p>
    <w:p>
      <w:pPr>
        <w:pStyle w:val="179"/>
      </w:pPr>
      <w:r>
        <w:rPr>
          <w:rFonts w:hint="eastAsia"/>
        </w:rPr>
        <w:t>感控组将感染情况的数据汇总至督察组，督察组报告院领导，会议讨论发布医院门诊部结束封闭通知，院领导上报区疾控部门和市卫健委，取得门诊恢复正常营业通知。</w:t>
      </w:r>
    </w:p>
    <w:p>
      <w:pPr>
        <w:pStyle w:val="61"/>
        <w:ind w:left="0" w:leftChars="0" w:firstLine="0" w:firstLineChars="0"/>
        <w:jc w:val="center"/>
        <w:rPr>
          <w:rFonts w:ascii="等线" w:hAnsi="等线" w:eastAsia="等线"/>
          <w:szCs w:val="21"/>
        </w:rPr>
      </w:pPr>
      <w:r>
        <w:rPr>
          <w:rFonts w:ascii="等线" w:hAnsi="等线" w:eastAsia="等线"/>
          <w:szCs w:val="21"/>
        </w:rPr>
        <w:drawing>
          <wp:inline distT="0" distB="0" distL="0" distR="0">
            <wp:extent cx="4922520" cy="3209925"/>
            <wp:effectExtent l="0" t="0" r="0" b="5715"/>
            <wp:docPr id="7" name="图片 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示&#10;&#10;描述已自动生成"/>
                    <pic:cNvPicPr>
                      <a:picLocks noChangeAspect="1"/>
                    </pic:cNvPicPr>
                  </pic:nvPicPr>
                  <pic:blipFill>
                    <a:blip r:embed="rId31">
                      <a:extLst>
                        <a:ext uri="{28A0092B-C50C-407E-A947-70E740481C1C}">
                          <a14:useLocalDpi xmlns:a14="http://schemas.microsoft.com/office/drawing/2010/main" val="0"/>
                        </a:ext>
                      </a:extLst>
                    </a:blip>
                    <a:stretch>
                      <a:fillRect/>
                    </a:stretch>
                  </pic:blipFill>
                  <pic:spPr>
                    <a:xfrm>
                      <a:off x="0" y="0"/>
                      <a:ext cx="4957425" cy="3232872"/>
                    </a:xfrm>
                    <a:prstGeom prst="rect">
                      <a:avLst/>
                    </a:prstGeom>
                  </pic:spPr>
                </pic:pic>
              </a:graphicData>
            </a:graphic>
          </wp:inline>
        </w:drawing>
      </w:r>
    </w:p>
    <w:p>
      <w:pPr>
        <w:pStyle w:val="119"/>
        <w:numPr>
          <w:ilvl w:val="0"/>
          <w:numId w:val="0"/>
        </w:numPr>
        <w:spacing w:before="156" w:after="156"/>
        <w:jc w:val="center"/>
        <w:rPr>
          <w:rFonts w:hint="default" w:ascii="Times New Roman" w:hAnsi="Times New Roman" w:eastAsia="宋体" w:cs="Times New Roman"/>
        </w:rPr>
      </w:pPr>
      <w:r>
        <w:rPr>
          <w:rFonts w:hint="default" w:ascii="Times New Roman" w:hAnsi="Times New Roman" w:eastAsia="宋体" w:cs="Times New Roman"/>
        </w:rPr>
        <w:t>图3 急性传染病类应急演练流程图</w:t>
      </w:r>
    </w:p>
    <w:p>
      <w:pPr>
        <w:pStyle w:val="109"/>
        <w:spacing w:before="312" w:after="312"/>
        <w:rPr>
          <w:rFonts w:hint="eastAsia"/>
          <w:lang w:val="en-US" w:eastAsia="zh-CN"/>
        </w:rPr>
      </w:pPr>
      <w:bookmarkStart w:id="97" w:name="_Toc10709"/>
      <w:bookmarkStart w:id="98" w:name="_Toc19924"/>
      <w:bookmarkStart w:id="99" w:name="_Toc10970"/>
      <w:bookmarkStart w:id="100" w:name="_Toc13530"/>
      <w:r>
        <w:rPr>
          <w:rFonts w:hint="eastAsia"/>
          <w:lang w:val="en-US" w:eastAsia="zh-CN"/>
        </w:rPr>
        <w:t>评估与改进</w:t>
      </w:r>
      <w:bookmarkEnd w:id="97"/>
      <w:bookmarkEnd w:id="98"/>
      <w:bookmarkEnd w:id="99"/>
      <w:bookmarkEnd w:id="100"/>
    </w:p>
    <w:p>
      <w:pPr>
        <w:pStyle w:val="167"/>
        <w:numPr>
          <w:ilvl w:val="0"/>
          <w:numId w:val="0"/>
        </w:numPr>
      </w:pPr>
      <w:r>
        <w:rPr>
          <w:rFonts w:hint="eastAsia"/>
        </w:rPr>
        <w:t>8</w:t>
      </w:r>
      <w:r>
        <w:t>.1</w:t>
      </w:r>
      <w:r>
        <w:rPr>
          <w:rFonts w:hint="eastAsia"/>
          <w:lang w:val="en-US" w:eastAsia="zh-CN"/>
        </w:rPr>
        <w:t xml:space="preserve">  </w:t>
      </w:r>
      <w:r>
        <w:rPr>
          <w:rFonts w:hint="eastAsia"/>
        </w:rPr>
        <w:t>应急演练结束后宜进行评估。评估人员对演练流程和效果、参加演练人员的表现、应急演练中暴露的主要问题等进行讲评，由专门人员现场记录并签字。评估组汇总现场记录，撰写评估报告。评估报告包括以下内容：</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rPr>
        <w:t>对应急演练准备的评估；</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rPr>
        <w:t>对应急演练策划与方案的评估；</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rPr>
        <w:t>对应急演练组织、预警、应急响应、决策与指挥、处置与救援、演练效果的评估；</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rPr>
        <w:t>对应急预案的改进建议；</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rPr>
        <w:t>对应急处置能力、技术、装备、信息化的改进建议；</w:t>
      </w:r>
    </w:p>
    <w:p>
      <w:pPr>
        <w:pStyle w:val="137"/>
        <w:keepNext w:val="0"/>
        <w:keepLines w:val="0"/>
        <w:pageBreakBefore w:val="0"/>
        <w:widowControl/>
        <w:kinsoku/>
        <w:wordWrap/>
        <w:overflowPunct/>
        <w:topLinePunct w:val="0"/>
        <w:autoSpaceDE/>
        <w:autoSpaceDN/>
        <w:bidi w:val="0"/>
        <w:adjustRightInd/>
        <w:snapToGrid/>
        <w:ind w:left="850" w:leftChars="0" w:hanging="425" w:firstLineChars="0"/>
        <w:textAlignment w:val="auto"/>
      </w:pPr>
      <w:r>
        <w:rPr>
          <w:rFonts w:hint="eastAsia"/>
        </w:rPr>
        <w:t>对应急管理人员、应急处置人员培训的建议。</w:t>
      </w:r>
    </w:p>
    <w:p>
      <w:pPr>
        <w:pStyle w:val="167"/>
        <w:numPr>
          <w:ilvl w:val="0"/>
          <w:numId w:val="0"/>
        </w:numPr>
        <w:rPr>
          <w:rFonts w:ascii="等线" w:hAnsi="等线" w:eastAsia="等线"/>
          <w:szCs w:val="21"/>
        </w:rPr>
      </w:pPr>
      <w:r>
        <w:rPr>
          <w:rFonts w:hint="eastAsia"/>
        </w:rPr>
        <w:t>8</w:t>
      </w:r>
      <w:r>
        <w:t>.2</w:t>
      </w:r>
      <w:r>
        <w:rPr>
          <w:rFonts w:hint="eastAsia"/>
          <w:lang w:val="en-US" w:eastAsia="zh-CN"/>
        </w:rPr>
        <w:t xml:space="preserve">  </w:t>
      </w:r>
      <w:r>
        <w:rPr>
          <w:rFonts w:hint="eastAsia"/>
        </w:rPr>
        <w:t>根据评估报告完善预案，督促相关部门和人员进行整改，保障整改资金，督促持续改进。</w:t>
      </w:r>
    </w:p>
    <w:bookmarkEnd w:id="24"/>
    <w:p>
      <w:pPr>
        <w:pStyle w:val="167"/>
        <w:rPr>
          <w:rFonts w:ascii="等线" w:hAnsi="等线" w:eastAsia="等线"/>
          <w:szCs w:val="21"/>
        </w:rP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bookmarkStart w:id="101" w:name="BookMark6"/>
    </w:p>
    <w:p>
      <w:pPr>
        <w:pStyle w:val="68"/>
        <w:shd w:val="clear" w:color="FFFFFF" w:fill="FFFFFF"/>
        <w:spacing w:after="156"/>
        <w:rPr>
          <w:rFonts w:hint="eastAsia"/>
          <w:spacing w:val="105"/>
        </w:rPr>
      </w:pPr>
      <w:bookmarkStart w:id="102" w:name="_Toc11521"/>
      <w:bookmarkStart w:id="103" w:name="_Toc18295"/>
      <w:bookmarkStart w:id="104" w:name="_Toc24525"/>
      <w:bookmarkStart w:id="105" w:name="_Toc31481"/>
      <w:bookmarkStart w:id="106" w:name="_Toc126071779"/>
      <w:bookmarkStart w:id="107" w:name="_Toc126139289"/>
      <w:bookmarkStart w:id="108" w:name="_Toc126140479"/>
      <w:r>
        <w:rPr>
          <w:rFonts w:hint="eastAsia"/>
          <w:spacing w:val="105"/>
        </w:rPr>
        <w:t>参考文献</w:t>
      </w:r>
      <w:bookmarkEnd w:id="102"/>
      <w:bookmarkEnd w:id="103"/>
      <w:bookmarkEnd w:id="104"/>
      <w:bookmarkEnd w:id="105"/>
      <w:bookmarkEnd w:id="106"/>
      <w:bookmarkEnd w:id="107"/>
      <w:bookmarkEnd w:id="108"/>
    </w:p>
    <w:p>
      <w:pPr>
        <w:pStyle w:val="61"/>
        <w:ind w:firstLine="420"/>
      </w:pPr>
      <w:r>
        <w:rPr>
          <w:rFonts w:hint="eastAsia"/>
        </w:rPr>
        <w:t>[</w:t>
      </w:r>
      <w:r>
        <w:t xml:space="preserve">1]  </w:t>
      </w:r>
      <w:r>
        <w:rPr>
          <w:rFonts w:hint="default" w:ascii="Times New Roman" w:hAnsi="Times New Roman" w:cs="Times New Roman"/>
        </w:rPr>
        <w:t>AQ/T 9007-2019</w:t>
      </w:r>
      <w:r>
        <w:t xml:space="preserve">  </w:t>
      </w:r>
      <w:r>
        <w:rPr>
          <w:rFonts w:hint="eastAsia"/>
        </w:rPr>
        <w:t>生产安全事故应急演练基本规范</w:t>
      </w:r>
    </w:p>
    <w:bookmarkEnd w:id="101"/>
    <w:p>
      <w:pPr>
        <w:pStyle w:val="61"/>
        <w:ind w:firstLine="0" w:firstLineChars="0"/>
        <w:jc w:val="center"/>
      </w:pPr>
      <w:bookmarkStart w:id="109" w:name="BookMark8"/>
      <w:r>
        <w:rPr>
          <w:rFonts w:hint="eastAsia"/>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9"/>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 MERGEFORMAT </w:instrText>
    </w:r>
    <w:r>
      <w:fldChar w:fldCharType="separate"/>
    </w:r>
    <w: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32/T XXXX—2020</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32/T XXXX—2020</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32/T XXXX—2020</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32/T XXXX—2020</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32/T XXXX—2020</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32/T XXXX—2020</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fldChar w:fldCharType="begin"/>
    </w:r>
    <w:r>
      <w:instrText xml:space="preserve"> STYLEREF  标准文件_文件编号  \* MERGEFORMAT </w:instrText>
    </w:r>
    <w:r>
      <w:fldChar w:fldCharType="separate"/>
    </w:r>
    <w:r>
      <w:t>DB 32/T XXXX—2020</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32/T XXXX—2020</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CE4CF8"/>
    <w:multiLevelType w:val="singleLevel"/>
    <w:tmpl w:val="93CE4CF8"/>
    <w:lvl w:ilvl="0" w:tentative="0">
      <w:start w:val="1"/>
      <w:numFmt w:val="lowerLetter"/>
      <w:lvlText w:val="%1)"/>
      <w:lvlJc w:val="left"/>
      <w:pPr>
        <w:tabs>
          <w:tab w:val="left" w:pos="0"/>
        </w:tabs>
        <w:ind w:left="0" w:leftChars="0" w:firstLine="0" w:firstLineChars="0"/>
      </w:pPr>
      <w:rPr>
        <w:rFonts w:hint="default" w:ascii="Times New Roman" w:hAnsi="Times New Roman" w:cs="Times New Roman"/>
      </w:rPr>
    </w:lvl>
  </w:abstractNum>
  <w:abstractNum w:abstractNumId="1">
    <w:nsid w:val="CB9AF6B2"/>
    <w:multiLevelType w:val="multilevel"/>
    <w:tmpl w:val="CB9AF6B2"/>
    <w:lvl w:ilvl="0" w:tentative="0">
      <w:start w:val="1"/>
      <w:numFmt w:val="none"/>
      <w:pStyle w:val="137"/>
      <w:lvlText w:val="%1——"/>
      <w:lvlJc w:val="left"/>
      <w:pPr>
        <w:tabs>
          <w:tab w:val="left" w:pos="1276"/>
        </w:tabs>
        <w:ind w:left="1276" w:hanging="426"/>
      </w:pPr>
      <w:rPr>
        <w:rFonts w:hint="default" w:ascii="Times New Roman" w:hAnsi="Times New Roman" w:eastAsia="宋体" w:cs="Times New Roman"/>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BCA2F12"/>
    <w:multiLevelType w:val="singleLevel"/>
    <w:tmpl w:val="1BCA2F12"/>
    <w:lvl w:ilvl="0" w:tentative="0">
      <w:start w:val="1"/>
      <w:numFmt w:val="lowerLetter"/>
      <w:lvlText w:val="%1)"/>
      <w:lvlJc w:val="left"/>
      <w:pPr>
        <w:tabs>
          <w:tab w:val="left" w:pos="0"/>
        </w:tabs>
        <w:ind w:left="0" w:leftChars="0" w:firstLine="0" w:firstLineChars="0"/>
      </w:pPr>
      <w:rPr>
        <w:rFonts w:hint="default" w:ascii="Times New Roman" w:hAnsi="Times New Roman" w:cs="Times New Roman"/>
      </w:rPr>
    </w:lvl>
  </w:abstractNum>
  <w:abstractNum w:abstractNumId="12">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9"/>
      <w:lvlText w:val="%1)"/>
      <w:lvlJc w:val="left"/>
      <w:pPr>
        <w:tabs>
          <w:tab w:val="left" w:pos="851"/>
        </w:tabs>
        <w:ind w:left="851" w:hanging="426"/>
      </w:pPr>
      <w:rPr>
        <w:rFonts w:hint="default" w:ascii="Times New Roman" w:hAnsi="Times New Roman" w:eastAsia="宋体" w:cs="Times New Roman"/>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9"/>
      <w:suff w:val="nothing"/>
      <w:lvlText w:val="图%1　"/>
      <w:lvlJc w:val="left"/>
      <w:pPr>
        <w:ind w:left="0" w:firstLine="0"/>
      </w:pPr>
      <w:rPr>
        <w:rFonts w:hint="default" w:ascii="Times New Roman" w:hAnsi="Times New Roman" w:cs="Times New Roman"/>
      </w:r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2"/>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3"/>
  </w:num>
  <w:num w:numId="21">
    <w:abstractNumId w:val="1"/>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11"/>
  </w:num>
  <w:num w:numId="33">
    <w:abstractNumId w:val="0"/>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yOWFiNmI3OTI4YjJiMGVjNTY3ZDFmNzdkZTlkNTQifQ=="/>
    <w:docVar w:name="KSO_WPS_MARK_KEY" w:val="bd050790-cf1a-4a31-bdac-727e8ecf8501"/>
  </w:docVars>
  <w:rsids>
    <w:rsidRoot w:val="00CB1CAD"/>
    <w:rsid w:val="0000040A"/>
    <w:rsid w:val="00000913"/>
    <w:rsid w:val="00000A94"/>
    <w:rsid w:val="00001972"/>
    <w:rsid w:val="00001D9A"/>
    <w:rsid w:val="00007B3A"/>
    <w:rsid w:val="000107E0"/>
    <w:rsid w:val="00011FDE"/>
    <w:rsid w:val="00012FFD"/>
    <w:rsid w:val="00013C5D"/>
    <w:rsid w:val="00014162"/>
    <w:rsid w:val="00014340"/>
    <w:rsid w:val="00016A9C"/>
    <w:rsid w:val="00022184"/>
    <w:rsid w:val="00022762"/>
    <w:rsid w:val="000238E0"/>
    <w:rsid w:val="000249DB"/>
    <w:rsid w:val="0002561E"/>
    <w:rsid w:val="0002595E"/>
    <w:rsid w:val="000303C3"/>
    <w:rsid w:val="000320AA"/>
    <w:rsid w:val="000331D3"/>
    <w:rsid w:val="000342C8"/>
    <w:rsid w:val="000346A5"/>
    <w:rsid w:val="000359C3"/>
    <w:rsid w:val="00035A7D"/>
    <w:rsid w:val="000365ED"/>
    <w:rsid w:val="0004249A"/>
    <w:rsid w:val="00043282"/>
    <w:rsid w:val="00044286"/>
    <w:rsid w:val="00047C1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5868"/>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D68"/>
    <w:rsid w:val="000C4B41"/>
    <w:rsid w:val="000C57D6"/>
    <w:rsid w:val="000C6362"/>
    <w:rsid w:val="000C7666"/>
    <w:rsid w:val="000D0A9C"/>
    <w:rsid w:val="000D1795"/>
    <w:rsid w:val="000D329A"/>
    <w:rsid w:val="000D4B9C"/>
    <w:rsid w:val="000D4EB6"/>
    <w:rsid w:val="000D753B"/>
    <w:rsid w:val="000D792B"/>
    <w:rsid w:val="000E4C9E"/>
    <w:rsid w:val="000E6FD7"/>
    <w:rsid w:val="000E726C"/>
    <w:rsid w:val="000F06E1"/>
    <w:rsid w:val="000F0E3C"/>
    <w:rsid w:val="000F19D5"/>
    <w:rsid w:val="000F4AEA"/>
    <w:rsid w:val="000F633F"/>
    <w:rsid w:val="000F67E9"/>
    <w:rsid w:val="00104926"/>
    <w:rsid w:val="00113B1E"/>
    <w:rsid w:val="0011711C"/>
    <w:rsid w:val="0012059C"/>
    <w:rsid w:val="001244B5"/>
    <w:rsid w:val="00124E4F"/>
    <w:rsid w:val="001260B7"/>
    <w:rsid w:val="001265CB"/>
    <w:rsid w:val="00131296"/>
    <w:rsid w:val="001321C6"/>
    <w:rsid w:val="001325C4"/>
    <w:rsid w:val="00133010"/>
    <w:rsid w:val="001338EE"/>
    <w:rsid w:val="00133AAE"/>
    <w:rsid w:val="001341E7"/>
    <w:rsid w:val="00135323"/>
    <w:rsid w:val="001356C4"/>
    <w:rsid w:val="00141114"/>
    <w:rsid w:val="00142969"/>
    <w:rsid w:val="00143BB6"/>
    <w:rsid w:val="001446C2"/>
    <w:rsid w:val="001457E7"/>
    <w:rsid w:val="00145D9D"/>
    <w:rsid w:val="00145E66"/>
    <w:rsid w:val="00146388"/>
    <w:rsid w:val="001529E5"/>
    <w:rsid w:val="00153C7E"/>
    <w:rsid w:val="00155534"/>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FB2"/>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56C"/>
    <w:rsid w:val="001D411C"/>
    <w:rsid w:val="001D61E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EF4"/>
    <w:rsid w:val="00205F2C"/>
    <w:rsid w:val="00210B15"/>
    <w:rsid w:val="00212533"/>
    <w:rsid w:val="002138AA"/>
    <w:rsid w:val="002142EA"/>
    <w:rsid w:val="002204BB"/>
    <w:rsid w:val="00221B79"/>
    <w:rsid w:val="00221C6B"/>
    <w:rsid w:val="002253A1"/>
    <w:rsid w:val="00225CF8"/>
    <w:rsid w:val="0022794E"/>
    <w:rsid w:val="00233D64"/>
    <w:rsid w:val="0023482A"/>
    <w:rsid w:val="00234E72"/>
    <w:rsid w:val="002359CB"/>
    <w:rsid w:val="00235B42"/>
    <w:rsid w:val="002424B6"/>
    <w:rsid w:val="00243540"/>
    <w:rsid w:val="0024497B"/>
    <w:rsid w:val="0024515B"/>
    <w:rsid w:val="00246021"/>
    <w:rsid w:val="0024666E"/>
    <w:rsid w:val="00247F52"/>
    <w:rsid w:val="00250B25"/>
    <w:rsid w:val="00250BBE"/>
    <w:rsid w:val="002515C2"/>
    <w:rsid w:val="0025194F"/>
    <w:rsid w:val="002579C1"/>
    <w:rsid w:val="002602DA"/>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9F6"/>
    <w:rsid w:val="00292D60"/>
    <w:rsid w:val="00293B30"/>
    <w:rsid w:val="00294903"/>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705A"/>
    <w:rsid w:val="002F30E0"/>
    <w:rsid w:val="002F35E4"/>
    <w:rsid w:val="002F3730"/>
    <w:rsid w:val="002F38E1"/>
    <w:rsid w:val="002F7AF6"/>
    <w:rsid w:val="00300E63"/>
    <w:rsid w:val="00302F5F"/>
    <w:rsid w:val="0030441D"/>
    <w:rsid w:val="00306063"/>
    <w:rsid w:val="00313B85"/>
    <w:rsid w:val="00317988"/>
    <w:rsid w:val="00320529"/>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DC6"/>
    <w:rsid w:val="003705F4"/>
    <w:rsid w:val="00370D58"/>
    <w:rsid w:val="00371316"/>
    <w:rsid w:val="00374535"/>
    <w:rsid w:val="00376713"/>
    <w:rsid w:val="00381815"/>
    <w:rsid w:val="003819AF"/>
    <w:rsid w:val="003820E9"/>
    <w:rsid w:val="00382DE7"/>
    <w:rsid w:val="00384FFC"/>
    <w:rsid w:val="003872FC"/>
    <w:rsid w:val="00387ADC"/>
    <w:rsid w:val="00390020"/>
    <w:rsid w:val="003903D6"/>
    <w:rsid w:val="00390844"/>
    <w:rsid w:val="00390EE6"/>
    <w:rsid w:val="0039118F"/>
    <w:rsid w:val="00392AD7"/>
    <w:rsid w:val="003938D9"/>
    <w:rsid w:val="00394376"/>
    <w:rsid w:val="003943FF"/>
    <w:rsid w:val="00395700"/>
    <w:rsid w:val="003974EB"/>
    <w:rsid w:val="00397CC5"/>
    <w:rsid w:val="003A1582"/>
    <w:rsid w:val="003A4077"/>
    <w:rsid w:val="003B09AD"/>
    <w:rsid w:val="003B1F18"/>
    <w:rsid w:val="003B3499"/>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036"/>
    <w:rsid w:val="004A12DF"/>
    <w:rsid w:val="004A17E6"/>
    <w:rsid w:val="004A1BA8"/>
    <w:rsid w:val="004A4B57"/>
    <w:rsid w:val="004A6361"/>
    <w:rsid w:val="004A63FA"/>
    <w:rsid w:val="004A7B23"/>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3690"/>
    <w:rsid w:val="005C5F21"/>
    <w:rsid w:val="005C7156"/>
    <w:rsid w:val="005D0C75"/>
    <w:rsid w:val="005D4171"/>
    <w:rsid w:val="005D6A95"/>
    <w:rsid w:val="005D6B2C"/>
    <w:rsid w:val="005D6D9C"/>
    <w:rsid w:val="005E2335"/>
    <w:rsid w:val="005E34CA"/>
    <w:rsid w:val="005E3C18"/>
    <w:rsid w:val="005E6812"/>
    <w:rsid w:val="005E7881"/>
    <w:rsid w:val="005E78E0"/>
    <w:rsid w:val="005F0135"/>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923"/>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2F14"/>
    <w:rsid w:val="006A336D"/>
    <w:rsid w:val="006A37B9"/>
    <w:rsid w:val="006B2672"/>
    <w:rsid w:val="006B54BF"/>
    <w:rsid w:val="006B5F44"/>
    <w:rsid w:val="006B5F90"/>
    <w:rsid w:val="006B62E4"/>
    <w:rsid w:val="006C1BBA"/>
    <w:rsid w:val="006C2079"/>
    <w:rsid w:val="006C4303"/>
    <w:rsid w:val="006C5A62"/>
    <w:rsid w:val="006C5D68"/>
    <w:rsid w:val="006C6976"/>
    <w:rsid w:val="006C6DD0"/>
    <w:rsid w:val="006D04EA"/>
    <w:rsid w:val="006D0AB7"/>
    <w:rsid w:val="006D0C44"/>
    <w:rsid w:val="006D16C4"/>
    <w:rsid w:val="006D3E96"/>
    <w:rsid w:val="006D4515"/>
    <w:rsid w:val="006D4BB1"/>
    <w:rsid w:val="006D6593"/>
    <w:rsid w:val="006E23EA"/>
    <w:rsid w:val="006F03A8"/>
    <w:rsid w:val="006F0B86"/>
    <w:rsid w:val="006F2ACA"/>
    <w:rsid w:val="006F2ADC"/>
    <w:rsid w:val="006F2BFE"/>
    <w:rsid w:val="006F31E9"/>
    <w:rsid w:val="006F6284"/>
    <w:rsid w:val="007002C5"/>
    <w:rsid w:val="00704387"/>
    <w:rsid w:val="007051A8"/>
    <w:rsid w:val="00706A6D"/>
    <w:rsid w:val="00707669"/>
    <w:rsid w:val="00707B79"/>
    <w:rsid w:val="00711CBA"/>
    <w:rsid w:val="00711FB5"/>
    <w:rsid w:val="00712A01"/>
    <w:rsid w:val="00714F58"/>
    <w:rsid w:val="00722FBF"/>
    <w:rsid w:val="00722FC2"/>
    <w:rsid w:val="00724879"/>
    <w:rsid w:val="00724E1B"/>
    <w:rsid w:val="00725949"/>
    <w:rsid w:val="00727FA2"/>
    <w:rsid w:val="00730E8C"/>
    <w:rsid w:val="007322D9"/>
    <w:rsid w:val="00732BC0"/>
    <w:rsid w:val="0073720F"/>
    <w:rsid w:val="00737796"/>
    <w:rsid w:val="0074165C"/>
    <w:rsid w:val="00742C35"/>
    <w:rsid w:val="007432CA"/>
    <w:rsid w:val="007439EB"/>
    <w:rsid w:val="00743CB4"/>
    <w:rsid w:val="00743F0A"/>
    <w:rsid w:val="007440E8"/>
    <w:rsid w:val="007444E8"/>
    <w:rsid w:val="0074548E"/>
    <w:rsid w:val="00745773"/>
    <w:rsid w:val="00746800"/>
    <w:rsid w:val="007501A8"/>
    <w:rsid w:val="00750D61"/>
    <w:rsid w:val="00750EE1"/>
    <w:rsid w:val="00752B4D"/>
    <w:rsid w:val="00755402"/>
    <w:rsid w:val="00756228"/>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2CB"/>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091"/>
    <w:rsid w:val="008E5518"/>
    <w:rsid w:val="008E6A84"/>
    <w:rsid w:val="008F0CDC"/>
    <w:rsid w:val="008F17A3"/>
    <w:rsid w:val="008F1ED3"/>
    <w:rsid w:val="008F23A5"/>
    <w:rsid w:val="008F4C29"/>
    <w:rsid w:val="008F70BD"/>
    <w:rsid w:val="008F788F"/>
    <w:rsid w:val="008F7EA2"/>
    <w:rsid w:val="00902722"/>
    <w:rsid w:val="009027BC"/>
    <w:rsid w:val="009062E6"/>
    <w:rsid w:val="00911B0A"/>
    <w:rsid w:val="00911BE5"/>
    <w:rsid w:val="00913CA9"/>
    <w:rsid w:val="009145AE"/>
    <w:rsid w:val="009146CE"/>
    <w:rsid w:val="00914CA7"/>
    <w:rsid w:val="00915C3E"/>
    <w:rsid w:val="009161A8"/>
    <w:rsid w:val="009245F5"/>
    <w:rsid w:val="009249EC"/>
    <w:rsid w:val="009273B3"/>
    <w:rsid w:val="009305B5"/>
    <w:rsid w:val="0093714E"/>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0B3"/>
    <w:rsid w:val="009C4CFA"/>
    <w:rsid w:val="009C5070"/>
    <w:rsid w:val="009D112C"/>
    <w:rsid w:val="009D47FA"/>
    <w:rsid w:val="009D4C5B"/>
    <w:rsid w:val="009D50D2"/>
    <w:rsid w:val="009D6BCA"/>
    <w:rsid w:val="009D6F4F"/>
    <w:rsid w:val="009E0F62"/>
    <w:rsid w:val="009E4A58"/>
    <w:rsid w:val="009E5A2D"/>
    <w:rsid w:val="009E5AB2"/>
    <w:rsid w:val="009E6219"/>
    <w:rsid w:val="009F03B3"/>
    <w:rsid w:val="00A0096C"/>
    <w:rsid w:val="00A01757"/>
    <w:rsid w:val="00A028C0"/>
    <w:rsid w:val="00A02BAE"/>
    <w:rsid w:val="00A05072"/>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804"/>
    <w:rsid w:val="00A414A3"/>
    <w:rsid w:val="00A41C79"/>
    <w:rsid w:val="00A41CB5"/>
    <w:rsid w:val="00A42CDF"/>
    <w:rsid w:val="00A4452E"/>
    <w:rsid w:val="00A446B1"/>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34E"/>
    <w:rsid w:val="00AD4126"/>
    <w:rsid w:val="00AD421C"/>
    <w:rsid w:val="00AD44FA"/>
    <w:rsid w:val="00AD55FB"/>
    <w:rsid w:val="00AE070A"/>
    <w:rsid w:val="00AE101C"/>
    <w:rsid w:val="00AE37E5"/>
    <w:rsid w:val="00AE5EB4"/>
    <w:rsid w:val="00AF0C18"/>
    <w:rsid w:val="00AF47C5"/>
    <w:rsid w:val="00AF5398"/>
    <w:rsid w:val="00B049AF"/>
    <w:rsid w:val="00B07242"/>
    <w:rsid w:val="00B07B38"/>
    <w:rsid w:val="00B10534"/>
    <w:rsid w:val="00B113DB"/>
    <w:rsid w:val="00B11D8A"/>
    <w:rsid w:val="00B12981"/>
    <w:rsid w:val="00B147DD"/>
    <w:rsid w:val="00B156FD"/>
    <w:rsid w:val="00B15777"/>
    <w:rsid w:val="00B16400"/>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3341"/>
    <w:rsid w:val="00B65149"/>
    <w:rsid w:val="00B66567"/>
    <w:rsid w:val="00B66F52"/>
    <w:rsid w:val="00B66FE5"/>
    <w:rsid w:val="00B72880"/>
    <w:rsid w:val="00B758BF"/>
    <w:rsid w:val="00B77EC8"/>
    <w:rsid w:val="00B80353"/>
    <w:rsid w:val="00B827A6"/>
    <w:rsid w:val="00B831CE"/>
    <w:rsid w:val="00B86677"/>
    <w:rsid w:val="00B87131"/>
    <w:rsid w:val="00B919DB"/>
    <w:rsid w:val="00B939B1"/>
    <w:rsid w:val="00B9595F"/>
    <w:rsid w:val="00B96D40"/>
    <w:rsid w:val="00B97386"/>
    <w:rsid w:val="00BA1361"/>
    <w:rsid w:val="00BA263B"/>
    <w:rsid w:val="00BA42B2"/>
    <w:rsid w:val="00BA58D4"/>
    <w:rsid w:val="00BA5B9E"/>
    <w:rsid w:val="00BA7C9A"/>
    <w:rsid w:val="00BB203B"/>
    <w:rsid w:val="00BB5987"/>
    <w:rsid w:val="00BB5F8F"/>
    <w:rsid w:val="00BB657A"/>
    <w:rsid w:val="00BC1A4E"/>
    <w:rsid w:val="00BC4790"/>
    <w:rsid w:val="00BC5DC7"/>
    <w:rsid w:val="00BC6B8B"/>
    <w:rsid w:val="00BC73D8"/>
    <w:rsid w:val="00BD2C23"/>
    <w:rsid w:val="00BD52D7"/>
    <w:rsid w:val="00BD5AD2"/>
    <w:rsid w:val="00BE22F3"/>
    <w:rsid w:val="00BE5B52"/>
    <w:rsid w:val="00BE7B8D"/>
    <w:rsid w:val="00BF0993"/>
    <w:rsid w:val="00BF10A9"/>
    <w:rsid w:val="00BF1703"/>
    <w:rsid w:val="00BF231C"/>
    <w:rsid w:val="00BF50BF"/>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6C6"/>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1CAD"/>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09F"/>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3EA5"/>
    <w:rsid w:val="00DA5191"/>
    <w:rsid w:val="00DA64F8"/>
    <w:rsid w:val="00DA6C15"/>
    <w:rsid w:val="00DB0258"/>
    <w:rsid w:val="00DB2E69"/>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D55"/>
    <w:rsid w:val="00DE61BD"/>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4F93"/>
    <w:rsid w:val="00E35D1E"/>
    <w:rsid w:val="00E364F9"/>
    <w:rsid w:val="00E365FA"/>
    <w:rsid w:val="00E36789"/>
    <w:rsid w:val="00E44A83"/>
    <w:rsid w:val="00E502C1"/>
    <w:rsid w:val="00E502DD"/>
    <w:rsid w:val="00E50D3A"/>
    <w:rsid w:val="00E51387"/>
    <w:rsid w:val="00E51E68"/>
    <w:rsid w:val="00E52EFD"/>
    <w:rsid w:val="00E5408A"/>
    <w:rsid w:val="00E56800"/>
    <w:rsid w:val="00E60839"/>
    <w:rsid w:val="00E60C63"/>
    <w:rsid w:val="00E62FF9"/>
    <w:rsid w:val="00E635D6"/>
    <w:rsid w:val="00E639BC"/>
    <w:rsid w:val="00E664CC"/>
    <w:rsid w:val="00E70388"/>
    <w:rsid w:val="00E70F92"/>
    <w:rsid w:val="00E74C54"/>
    <w:rsid w:val="00E77A03"/>
    <w:rsid w:val="00E806EB"/>
    <w:rsid w:val="00E822E8"/>
    <w:rsid w:val="00E82554"/>
    <w:rsid w:val="00E82606"/>
    <w:rsid w:val="00E846C8"/>
    <w:rsid w:val="00E84957"/>
    <w:rsid w:val="00E84A55"/>
    <w:rsid w:val="00E85BFF"/>
    <w:rsid w:val="00E90391"/>
    <w:rsid w:val="00E906C2"/>
    <w:rsid w:val="00E92836"/>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B7988"/>
    <w:rsid w:val="00EC5359"/>
    <w:rsid w:val="00EC562A"/>
    <w:rsid w:val="00ED067A"/>
    <w:rsid w:val="00ED2B50"/>
    <w:rsid w:val="00EE0350"/>
    <w:rsid w:val="00EE0719"/>
    <w:rsid w:val="00EE0E80"/>
    <w:rsid w:val="00EE2FA5"/>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6F3"/>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1C17"/>
    <w:rsid w:val="00F623AC"/>
    <w:rsid w:val="00F6412A"/>
    <w:rsid w:val="00F65893"/>
    <w:rsid w:val="00F66A4A"/>
    <w:rsid w:val="00F71E22"/>
    <w:rsid w:val="00F72142"/>
    <w:rsid w:val="00F72AE7"/>
    <w:rsid w:val="00F73AC5"/>
    <w:rsid w:val="00F81141"/>
    <w:rsid w:val="00F833BA"/>
    <w:rsid w:val="00F84FD0"/>
    <w:rsid w:val="00F859A8"/>
    <w:rsid w:val="00F86D87"/>
    <w:rsid w:val="00F9108B"/>
    <w:rsid w:val="00F91349"/>
    <w:rsid w:val="00F93A8A"/>
    <w:rsid w:val="00F948A2"/>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6DC9"/>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999"/>
    <w:rsid w:val="00FF2BA1"/>
    <w:rsid w:val="00FF3E7D"/>
    <w:rsid w:val="00FF5B99"/>
    <w:rsid w:val="00FF730C"/>
    <w:rsid w:val="00FF73F4"/>
    <w:rsid w:val="00FF7CE4"/>
    <w:rsid w:val="00FF7E39"/>
    <w:rsid w:val="02624152"/>
    <w:rsid w:val="0600615C"/>
    <w:rsid w:val="0817778D"/>
    <w:rsid w:val="08D268C3"/>
    <w:rsid w:val="09271C52"/>
    <w:rsid w:val="09A8343C"/>
    <w:rsid w:val="0ECF2B6F"/>
    <w:rsid w:val="11BF336F"/>
    <w:rsid w:val="14445677"/>
    <w:rsid w:val="16DF3B6C"/>
    <w:rsid w:val="176B4EA4"/>
    <w:rsid w:val="1AA269B3"/>
    <w:rsid w:val="1D7C5295"/>
    <w:rsid w:val="1EDC3B33"/>
    <w:rsid w:val="21076199"/>
    <w:rsid w:val="217A70D3"/>
    <w:rsid w:val="218C669E"/>
    <w:rsid w:val="239857CE"/>
    <w:rsid w:val="26421B0D"/>
    <w:rsid w:val="29D7618B"/>
    <w:rsid w:val="2ACC2ED2"/>
    <w:rsid w:val="2CE34819"/>
    <w:rsid w:val="2D83129D"/>
    <w:rsid w:val="2EA02BC8"/>
    <w:rsid w:val="3034687E"/>
    <w:rsid w:val="31025CF5"/>
    <w:rsid w:val="31C53C32"/>
    <w:rsid w:val="31ED3189"/>
    <w:rsid w:val="3491604D"/>
    <w:rsid w:val="3A922B1F"/>
    <w:rsid w:val="3B583EC9"/>
    <w:rsid w:val="3D22018A"/>
    <w:rsid w:val="455A06DD"/>
    <w:rsid w:val="45B132F9"/>
    <w:rsid w:val="46C81283"/>
    <w:rsid w:val="48D507A7"/>
    <w:rsid w:val="4A97702A"/>
    <w:rsid w:val="4AFD5437"/>
    <w:rsid w:val="4C8E50A8"/>
    <w:rsid w:val="4F007B5A"/>
    <w:rsid w:val="53446786"/>
    <w:rsid w:val="539574B0"/>
    <w:rsid w:val="544312E1"/>
    <w:rsid w:val="55FC2763"/>
    <w:rsid w:val="56F00EA2"/>
    <w:rsid w:val="58443253"/>
    <w:rsid w:val="589E0C26"/>
    <w:rsid w:val="59967ADE"/>
    <w:rsid w:val="5A4C63EF"/>
    <w:rsid w:val="5CB621EB"/>
    <w:rsid w:val="5FBC7F35"/>
    <w:rsid w:val="60395D86"/>
    <w:rsid w:val="6262059C"/>
    <w:rsid w:val="62B12059"/>
    <w:rsid w:val="6481138B"/>
    <w:rsid w:val="653463FD"/>
    <w:rsid w:val="65B01F28"/>
    <w:rsid w:val="68F22857"/>
    <w:rsid w:val="6A8D4328"/>
    <w:rsid w:val="6B686E01"/>
    <w:rsid w:val="6B7C72F1"/>
    <w:rsid w:val="6EE81621"/>
    <w:rsid w:val="70455963"/>
    <w:rsid w:val="71FA3951"/>
    <w:rsid w:val="72B80445"/>
    <w:rsid w:val="72F316A6"/>
    <w:rsid w:val="761E338B"/>
    <w:rsid w:val="76BE1FCB"/>
    <w:rsid w:val="77020109"/>
    <w:rsid w:val="796B01E8"/>
    <w:rsid w:val="79813B52"/>
    <w:rsid w:val="7A401675"/>
    <w:rsid w:val="7AED1D3E"/>
    <w:rsid w:val="7D495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iPriority="99"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semiHidden/>
    <w:unhideWhenUsed/>
    <w:qFormat/>
    <w:uiPriority w:val="99"/>
    <w:pPr>
      <w:jc w:val="left"/>
    </w:pPr>
  </w:style>
  <w:style w:type="paragraph" w:styleId="14">
    <w:name w:val="Body Text"/>
    <w:basedOn w:val="1"/>
    <w:link w:val="91"/>
    <w:qFormat/>
    <w:uiPriority w:val="0"/>
    <w:pPr>
      <w:spacing w:after="120"/>
    </w:pPr>
  </w:style>
  <w:style w:type="paragraph" w:styleId="15">
    <w:name w:val="index 4"/>
    <w:basedOn w:val="1"/>
    <w:next w:val="1"/>
    <w:unhideWhenUsed/>
    <w:qFormat/>
    <w:uiPriority w:val="99"/>
    <w:pPr>
      <w:adjustRightInd/>
      <w:spacing w:before="100" w:beforeAutospacing="1" w:after="100" w:afterAutospacing="1" w:line="240" w:lineRule="auto"/>
      <w:ind w:left="600" w:leftChars="600"/>
    </w:pPr>
    <w:rPr>
      <w:rFonts w:ascii="等线" w:hAnsi="等线" w:eastAsia="等线"/>
    </w:r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50"/>
    <w:semiHidden/>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8">
    <w:name w:val="Title"/>
    <w:basedOn w:val="1"/>
    <w:link w:val="53"/>
    <w:qFormat/>
    <w:uiPriority w:val="0"/>
    <w:pPr>
      <w:spacing w:before="240" w:after="60"/>
      <w:jc w:val="center"/>
      <w:outlineLvl w:val="0"/>
    </w:pPr>
    <w:rPr>
      <w:rFonts w:ascii="Arial" w:hAnsi="Arial" w:cs="Arial"/>
      <w:b/>
      <w:bCs/>
      <w:sz w:val="32"/>
      <w:szCs w:val="32"/>
    </w:rPr>
  </w:style>
  <w:style w:type="paragraph" w:styleId="29">
    <w:name w:val="annotation subject"/>
    <w:basedOn w:val="13"/>
    <w:next w:val="13"/>
    <w:link w:val="236"/>
    <w:semiHidden/>
    <w:unhideWhenUsed/>
    <w:qFormat/>
    <w:uiPriority w:val="99"/>
    <w:rPr>
      <w:b/>
      <w:bCs/>
    </w:rPr>
  </w:style>
  <w:style w:type="table" w:styleId="31">
    <w:name w:val="Table Grid"/>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22"/>
    <w:rPr>
      <w:b/>
      <w:bCs/>
    </w:rPr>
  </w:style>
  <w:style w:type="character" w:styleId="34">
    <w:name w:val="page number"/>
    <w:qFormat/>
    <w:uiPriority w:val="0"/>
    <w:rPr>
      <w:rFonts w:ascii="宋体" w:hAnsi="Times New Roman" w:eastAsia="宋体"/>
      <w:sz w:val="18"/>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semiHidden/>
    <w:unhideWhenUsed/>
    <w:qFormat/>
    <w:uiPriority w:val="99"/>
    <w:rPr>
      <w:sz w:val="21"/>
      <w:szCs w:val="21"/>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4"/>
    <w:qFormat/>
    <w:uiPriority w:val="0"/>
    <w:rPr>
      <w:b/>
      <w:bCs/>
      <w:kern w:val="2"/>
      <w:sz w:val="32"/>
      <w:szCs w:val="32"/>
    </w:rPr>
  </w:style>
  <w:style w:type="character" w:customStyle="1" w:styleId="42">
    <w:name w:val="标题 4 字符"/>
    <w:link w:val="5"/>
    <w:qFormat/>
    <w:uiPriority w:val="0"/>
    <w:rPr>
      <w:rFonts w:ascii="Arial" w:hAnsi="Arial" w:eastAsia="黑体"/>
      <w:b/>
      <w:bCs/>
      <w:kern w:val="2"/>
      <w:sz w:val="28"/>
      <w:szCs w:val="28"/>
    </w:rPr>
  </w:style>
  <w:style w:type="character" w:customStyle="1" w:styleId="43">
    <w:name w:val="标题 5 字符"/>
    <w:link w:val="6"/>
    <w:qFormat/>
    <w:uiPriority w:val="0"/>
    <w:rPr>
      <w:b/>
      <w:bCs/>
      <w:kern w:val="2"/>
      <w:sz w:val="28"/>
      <w:szCs w:val="28"/>
    </w:rPr>
  </w:style>
  <w:style w:type="character" w:customStyle="1" w:styleId="44">
    <w:name w:val="标题 6 字符"/>
    <w:link w:val="7"/>
    <w:qFormat/>
    <w:uiPriority w:val="0"/>
    <w:rPr>
      <w:rFonts w:ascii="Arial" w:hAnsi="Arial" w:eastAsia="黑体"/>
      <w:b/>
      <w:bCs/>
      <w:kern w:val="2"/>
      <w:sz w:val="24"/>
      <w:szCs w:val="24"/>
    </w:rPr>
  </w:style>
  <w:style w:type="character" w:customStyle="1" w:styleId="45">
    <w:name w:val="标题 7 字符"/>
    <w:link w:val="8"/>
    <w:qFormat/>
    <w:uiPriority w:val="0"/>
    <w:rPr>
      <w:b/>
      <w:bCs/>
      <w:kern w:val="2"/>
      <w:sz w:val="24"/>
      <w:szCs w:val="24"/>
    </w:rPr>
  </w:style>
  <w:style w:type="character" w:customStyle="1" w:styleId="46">
    <w:name w:val="标题 8 字符"/>
    <w:link w:val="9"/>
    <w:qFormat/>
    <w:uiPriority w:val="0"/>
    <w:rPr>
      <w:rFonts w:ascii="Arial" w:hAnsi="Arial" w:eastAsia="黑体"/>
      <w:kern w:val="2"/>
      <w:sz w:val="24"/>
      <w:szCs w:val="24"/>
    </w:rPr>
  </w:style>
  <w:style w:type="character" w:customStyle="1" w:styleId="47">
    <w:name w:val="标题 9 字符"/>
    <w:link w:val="10"/>
    <w:qFormat/>
    <w:uiPriority w:val="0"/>
    <w:rPr>
      <w:rFonts w:ascii="Arial" w:hAnsi="Arial" w:eastAsia="黑体"/>
      <w:kern w:val="2"/>
      <w:sz w:val="21"/>
      <w:szCs w:val="21"/>
    </w:rPr>
  </w:style>
  <w:style w:type="character" w:customStyle="1" w:styleId="48">
    <w:name w:val="页眉 字符"/>
    <w:link w:val="20"/>
    <w:qFormat/>
    <w:uiPriority w:val="99"/>
    <w:rPr>
      <w:kern w:val="2"/>
      <w:sz w:val="18"/>
      <w:szCs w:val="18"/>
    </w:rPr>
  </w:style>
  <w:style w:type="character" w:customStyle="1" w:styleId="49">
    <w:name w:val="页脚 字符"/>
    <w:link w:val="19"/>
    <w:qFormat/>
    <w:uiPriority w:val="99"/>
    <w:rPr>
      <w:rFonts w:ascii="宋体"/>
      <w:kern w:val="2"/>
      <w:sz w:val="18"/>
      <w:szCs w:val="18"/>
    </w:rPr>
  </w:style>
  <w:style w:type="character" w:customStyle="1" w:styleId="50">
    <w:name w:val="批注框文本 字符"/>
    <w:link w:val="18"/>
    <w:semiHidden/>
    <w:qFormat/>
    <w:uiPriority w:val="99"/>
    <w:rPr>
      <w:kern w:val="2"/>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kern w:val="2"/>
      <w:sz w:val="21"/>
      <w:szCs w:val="21"/>
    </w:rPr>
  </w:style>
  <w:style w:type="character" w:customStyle="1" w:styleId="53">
    <w:name w:val="标题 字符"/>
    <w:link w:val="28"/>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kern w:val="2"/>
      <w:sz w:val="21"/>
      <w:szCs w:val="21"/>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3"/>
    <w:semiHidden/>
    <w:qFormat/>
    <w:uiPriority w:val="0"/>
    <w:rPr>
      <w:rFonts w:ascii="宋体"/>
      <w:kern w:val="2"/>
      <w:sz w:val="18"/>
      <w:szCs w:val="18"/>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tabs>
        <w:tab w:val="left" w:pos="851"/>
      </w:tabs>
      <w:ind w:left="1276"/>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2"/>
    <w:semiHidden/>
    <w:qFormat/>
    <w:uiPriority w:val="99"/>
    <w:rPr>
      <w:color w:val="808080"/>
    </w:rPr>
  </w:style>
  <w:style w:type="paragraph" w:customStyle="1" w:styleId="192">
    <w:name w:val="标准文件_二级项2"/>
    <w:basedOn w:val="61"/>
    <w:qFormat/>
    <w:uiPriority w:val="0"/>
    <w:pPr>
      <w:numPr>
        <w:ilvl w:val="1"/>
        <w:numId w:val="21"/>
      </w:numPr>
      <w:ind w:hanging="431" w:firstLineChars="0"/>
    </w:pPr>
  </w:style>
  <w:style w:type="paragraph" w:customStyle="1" w:styleId="193">
    <w:name w:val="标准文件_三级项2"/>
    <w:basedOn w:val="61"/>
    <w:qFormat/>
    <w:uiPriority w:val="0"/>
    <w:pPr>
      <w:numPr>
        <w:ilvl w:val="0"/>
        <w:numId w:val="30"/>
      </w:numPr>
      <w:spacing w:line="300" w:lineRule="exact"/>
      <w:ind w:firstLineChars="0"/>
    </w:pPr>
    <w:rPr>
      <w:rFonts w:ascii="Times New Roman"/>
    </w:rPr>
  </w:style>
  <w:style w:type="paragraph" w:customStyle="1" w:styleId="194">
    <w:name w:val="标准文件_一级项2"/>
    <w:basedOn w:val="61"/>
    <w:qFormat/>
    <w:uiPriority w:val="0"/>
    <w:pPr>
      <w:numPr>
        <w:ilvl w:val="0"/>
        <w:numId w:val="31"/>
      </w:numPr>
      <w:spacing w:line="300" w:lineRule="exact"/>
      <w:ind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2"/>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qFormat/>
    <w:uiPriority w:val="0"/>
    <w:rPr>
      <w:rFonts w:ascii="黑体" w:eastAsia="黑体"/>
      <w:spacing w:val="85"/>
      <w:w w:val="100"/>
      <w:position w:val="3"/>
      <w:sz w:val="28"/>
      <w:szCs w:val="28"/>
    </w:rPr>
  </w:style>
  <w:style w:type="character" w:customStyle="1" w:styleId="235">
    <w:name w:val="批注文字 字符"/>
    <w:basedOn w:val="32"/>
    <w:link w:val="13"/>
    <w:semiHidden/>
    <w:qFormat/>
    <w:uiPriority w:val="99"/>
    <w:rPr>
      <w:kern w:val="2"/>
      <w:sz w:val="21"/>
      <w:szCs w:val="21"/>
    </w:rPr>
  </w:style>
  <w:style w:type="character" w:customStyle="1" w:styleId="236">
    <w:name w:val="批注主题 字符"/>
    <w:basedOn w:val="235"/>
    <w:link w:val="29"/>
    <w:semiHidden/>
    <w:qFormat/>
    <w:uiPriority w:val="99"/>
    <w:rPr>
      <w:b/>
      <w:bCs/>
      <w:kern w:val="2"/>
      <w:sz w:val="21"/>
      <w:szCs w:val="21"/>
    </w:rPr>
  </w:style>
  <w:style w:type="paragraph" w:customStyle="1" w:styleId="237">
    <w:name w:val="修订1"/>
    <w:hidden/>
    <w:semiHidden/>
    <w:qFormat/>
    <w:uiPriority w:val="99"/>
    <w:rPr>
      <w:rFonts w:ascii="Calibri" w:hAnsi="Calibri" w:eastAsia="宋体" w:cs="Times New Roman"/>
      <w:kern w:val="2"/>
      <w:sz w:val="21"/>
      <w:szCs w:val="21"/>
      <w:lang w:val="en-US" w:eastAsia="zh-CN" w:bidi="ar-SA"/>
    </w:rPr>
  </w:style>
  <w:style w:type="paragraph" w:customStyle="1" w:styleId="238">
    <w:name w:val="WPSOffice手动目录 1"/>
    <w:qFormat/>
    <w:uiPriority w:val="0"/>
    <w:pPr>
      <w:ind w:leftChars="0"/>
    </w:pPr>
    <w:rPr>
      <w:rFonts w:ascii="Calibri" w:hAnsi="Calibri" w:eastAsia="宋体" w:cs="Times New Roman"/>
      <w:sz w:val="20"/>
      <w:szCs w:val="20"/>
    </w:rPr>
  </w:style>
  <w:style w:type="paragraph" w:customStyle="1" w:styleId="239">
    <w:name w:val="WPSOffice手动目录 2"/>
    <w:qFormat/>
    <w:uiPriority w:val="0"/>
    <w:pPr>
      <w:ind w:leftChars="200"/>
    </w:pPr>
    <w:rPr>
      <w:rFonts w:ascii="Calibri" w:hAnsi="Calibri" w:eastAsia="宋体" w:cs="Times New Roman"/>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8" Type="http://schemas.openxmlformats.org/officeDocument/2006/relationships/glossaryDocument" Target="glossary/document.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5.jpeg"/><Relationship Id="rId31" Type="http://schemas.openxmlformats.org/officeDocument/2006/relationships/image" Target="media/image4.png"/><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605E91D0A9C4A18BFCC201F137CC6E2"/>
        <w:style w:val=""/>
        <w:category>
          <w:name w:val="常规"/>
          <w:gallery w:val="placeholder"/>
        </w:category>
        <w:types>
          <w:type w:val="bbPlcHdr"/>
        </w:types>
        <w:behaviors>
          <w:behavior w:val="content"/>
        </w:behaviors>
        <w:description w:val=""/>
        <w:guid w:val="{ADCBCE55-4D23-4E77-9896-F27C4F758161}"/>
      </w:docPartPr>
      <w:docPartBody>
        <w:p>
          <w:pPr>
            <w:pStyle w:val="5"/>
          </w:pPr>
          <w:r>
            <w:rPr>
              <w:rStyle w:val="4"/>
              <w:rFonts w:hint="eastAsia"/>
            </w:rPr>
            <w:t>单击或点击此处输入文字。</w:t>
          </w:r>
        </w:p>
      </w:docPartBody>
    </w:docPart>
    <w:docPart>
      <w:docPartPr>
        <w:name w:val="EFE8A0F253964EA7AB996548F79244C3"/>
        <w:style w:val=""/>
        <w:category>
          <w:name w:val="常规"/>
          <w:gallery w:val="placeholder"/>
        </w:category>
        <w:types>
          <w:type w:val="bbPlcHdr"/>
        </w:types>
        <w:behaviors>
          <w:behavior w:val="content"/>
        </w:behaviors>
        <w:description w:val=""/>
        <w:guid w:val="{3EE20561-4CF2-42C3-9473-646C79A091FA}"/>
      </w:docPartPr>
      <w:docPartBody>
        <w:p>
          <w:pPr>
            <w:pStyle w:val="6"/>
          </w:pPr>
          <w:r>
            <w:rPr>
              <w:rStyle w:val="4"/>
              <w:rFonts w:hint="eastAsia"/>
            </w:rPr>
            <w:t>选择一项。</w:t>
          </w:r>
        </w:p>
      </w:docPartBody>
    </w:docPart>
    <w:docPart>
      <w:docPartPr>
        <w:name w:val="4C92FD8E0C6B432392264418D5422820"/>
        <w:style w:val=""/>
        <w:category>
          <w:name w:val="常规"/>
          <w:gallery w:val="placeholder"/>
        </w:category>
        <w:types>
          <w:type w:val="bbPlcHdr"/>
        </w:types>
        <w:behaviors>
          <w:behavior w:val="content"/>
        </w:behaviors>
        <w:description w:val=""/>
        <w:guid w:val="{18466C12-B1AE-4724-B4A9-009C4D088A7D}"/>
      </w:docPartPr>
      <w:docPartBody>
        <w:p>
          <w:pPr>
            <w:pStyle w:val="7"/>
          </w:pPr>
          <w:r>
            <w:rPr>
              <w:rStyle w:val="4"/>
              <w:rFonts w:hint="eastAsia"/>
            </w:rPr>
            <w:t>选择一项。</w:t>
          </w:r>
        </w:p>
      </w:docPartBody>
    </w:docPart>
    <w:docPart>
      <w:docPartPr>
        <w:name w:val="{2530711c-bef1-49b9-96fd-5559a6a4d662}"/>
        <w:style w:val=""/>
        <w:category>
          <w:name w:val="常规"/>
          <w:gallery w:val="placeholder"/>
        </w:category>
        <w:types>
          <w:type w:val="bbPlcHdr"/>
        </w:types>
        <w:behaviors>
          <w:behavior w:val="content"/>
        </w:behaviors>
        <w:description w:val=""/>
        <w:guid w:val="{2530711c-bef1-49b9-96fd-5559a6a4d662}"/>
      </w:docPartPr>
      <w:docPartBody>
        <w:p>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E39"/>
    <w:rsid w:val="000F1903"/>
    <w:rsid w:val="001601DA"/>
    <w:rsid w:val="00596690"/>
    <w:rsid w:val="005F398F"/>
    <w:rsid w:val="007E35CA"/>
    <w:rsid w:val="008B4EFF"/>
    <w:rsid w:val="00984ABE"/>
    <w:rsid w:val="00A61E39"/>
    <w:rsid w:val="00AB0C35"/>
    <w:rsid w:val="00DB3E4E"/>
    <w:rsid w:val="00FA0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F605E91D0A9C4A18BFCC201F137CC6E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FE8A0F253964EA7AB996548F79244C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C92FD8E0C6B432392264418D542282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85401A-76B0-4674-965A-29B03E2A5B7C}">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(x86)\StandardEditor\template\地方标准.dotx</Template>
  <Company>PCMI</Company>
  <Pages>11</Pages>
  <Words>4366</Words>
  <Characters>4626</Characters>
  <Lines>39</Lines>
  <Paragraphs>11</Paragraphs>
  <TotalTime>7</TotalTime>
  <ScaleCrop>false</ScaleCrop>
  <LinksUpToDate>false</LinksUpToDate>
  <CharactersWithSpaces>4776</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2023-02-18T07:25:00Z</dcterms:created>
  <dc:creator>DELL</dc:creator>
  <dc:description>&lt;config cover="true" show_menu="true" version="1.0.0" doctype="SDKXY"&gt;_x000d_
&lt;/config&gt;</dc:description>
  <cp:lastModifiedBy>G PANDA </cp:lastModifiedBy>
  <cp:lastPrinted>2020-08-30T10:00:00Z</cp:lastPrinted>
  <dcterms:modified xsi:type="dcterms:W3CDTF">2024-07-03T15:22:36Z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2052-11.1.0.12165</vt:lpwstr>
  </property>
  <property fmtid="{D5CDD505-2E9C-101B-9397-08002B2CF9AE}" pid="16" name="ICV">
    <vt:lpwstr>7A5BBAAED558429780F0202E37199FDA</vt:lpwstr>
  </property>
</Properties>
</file>